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0B89" w14:textId="6D9BFF82" w:rsidR="00BC011B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 w:hint="eastAsia"/>
          <w:sz w:val="24"/>
          <w:szCs w:val="24"/>
        </w:rPr>
        <w:t>品目号：1</w:t>
      </w:r>
      <w:r w:rsidRPr="006C4251">
        <w:rPr>
          <w:rFonts w:ascii="宋体" w:eastAsia="宋体" w:hAnsi="宋体"/>
          <w:sz w:val="24"/>
          <w:szCs w:val="24"/>
        </w:rPr>
        <w:t>-1</w:t>
      </w:r>
    </w:p>
    <w:p w14:paraId="14A5FD77" w14:textId="27CDACA2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C4251">
        <w:rPr>
          <w:rFonts w:ascii="宋体" w:eastAsia="宋体" w:hAnsi="宋体" w:hint="eastAsia"/>
          <w:sz w:val="24"/>
          <w:szCs w:val="24"/>
        </w:rPr>
        <w:t>品目编码及品目名称：</w:t>
      </w:r>
      <w:r w:rsidRPr="00DF7A27">
        <w:rPr>
          <w:rFonts w:ascii="宋体" w:eastAsia="宋体" w:hAnsi="宋体" w:cs="宋体" w:hint="eastAsia"/>
          <w:kern w:val="0"/>
          <w:sz w:val="24"/>
          <w:szCs w:val="24"/>
        </w:rPr>
        <w:t>A032405-环保监测设备</w:t>
      </w:r>
    </w:p>
    <w:p w14:paraId="1864786E" w14:textId="20814286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C4251">
        <w:rPr>
          <w:rFonts w:ascii="宋体" w:eastAsia="宋体" w:hAnsi="宋体" w:cs="宋体" w:hint="eastAsia"/>
          <w:kern w:val="0"/>
          <w:sz w:val="24"/>
          <w:szCs w:val="24"/>
        </w:rPr>
        <w:t>采购标的：</w:t>
      </w:r>
      <w:r w:rsidRPr="00DF7A27">
        <w:rPr>
          <w:rFonts w:ascii="宋体" w:eastAsia="宋体" w:hAnsi="宋体" w:cs="宋体" w:hint="eastAsia"/>
          <w:kern w:val="0"/>
          <w:sz w:val="24"/>
          <w:szCs w:val="24"/>
        </w:rPr>
        <w:t>环保监测设备</w:t>
      </w:r>
    </w:p>
    <w:p w14:paraId="19E1D617" w14:textId="0E5D2F54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C4251">
        <w:rPr>
          <w:rFonts w:ascii="宋体" w:eastAsia="宋体" w:hAnsi="宋体" w:cs="宋体" w:hint="eastAsia"/>
          <w:kern w:val="0"/>
          <w:sz w:val="24"/>
          <w:szCs w:val="24"/>
        </w:rPr>
        <w:t>数量（单位）：1（套）</w:t>
      </w:r>
    </w:p>
    <w:p w14:paraId="27ED6CE1" w14:textId="12B49DCC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 w:hint="eastAsia"/>
          <w:sz w:val="24"/>
          <w:szCs w:val="24"/>
        </w:rPr>
        <w:t>是否允许进口：</w:t>
      </w:r>
      <w:proofErr w:type="gramStart"/>
      <w:r w:rsidRPr="006C4251">
        <w:rPr>
          <w:rFonts w:ascii="宋体" w:eastAsia="宋体" w:hAnsi="宋体" w:hint="eastAsia"/>
          <w:sz w:val="24"/>
          <w:szCs w:val="24"/>
        </w:rPr>
        <w:t>否</w:t>
      </w:r>
      <w:proofErr w:type="gramEnd"/>
    </w:p>
    <w:p w14:paraId="36EEFBB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 w:hint="eastAsia"/>
          <w:sz w:val="24"/>
          <w:szCs w:val="24"/>
        </w:rPr>
        <w:t>简要需求或要求：</w:t>
      </w:r>
      <w:r w:rsidRPr="006C4251">
        <w:rPr>
          <w:rFonts w:ascii="宋体" w:eastAsia="宋体" w:hAnsi="宋体" w:hint="eastAsia"/>
          <w:sz w:val="24"/>
          <w:szCs w:val="24"/>
        </w:rPr>
        <w:t>拟采购的紫外、可见光分光光度计参数</w:t>
      </w:r>
    </w:p>
    <w:p w14:paraId="71013072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1、基本要求</w:t>
      </w:r>
    </w:p>
    <w:p w14:paraId="55EAF797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 xml:space="preserve">★1.1、仪器要求：双光束紫外可见分光光度计，符合JJG178-2007 中 I </w:t>
      </w:r>
      <w:proofErr w:type="gramStart"/>
      <w:r w:rsidRPr="006C4251">
        <w:rPr>
          <w:rFonts w:ascii="宋体" w:eastAsia="宋体" w:hAnsi="宋体"/>
          <w:sz w:val="24"/>
          <w:szCs w:val="24"/>
        </w:rPr>
        <w:t>级分光</w:t>
      </w:r>
      <w:proofErr w:type="gramEnd"/>
      <w:r w:rsidRPr="006C4251">
        <w:rPr>
          <w:rFonts w:ascii="宋体" w:eastAsia="宋体" w:hAnsi="宋体"/>
          <w:sz w:val="24"/>
          <w:szCs w:val="24"/>
        </w:rPr>
        <w:t>光程计的性能要求。</w:t>
      </w:r>
    </w:p>
    <w:p w14:paraId="74B83FE8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★1.2 仪器总体描述：单机可对扫描曲线进行平滑处理、峰谷检测；可实现光谱扫描、动力学扫描、时间扫描、多波长测量、标准曲线绘制及光度分析；具有开机自动检定功能，修复长期应用照成的偏差；配备专业分析软件，工作站主板或硬盘：增强硬件兼容性和稳定，支持长时间高强度工作。工作站整机通过防雷、防震、防噪音、防辐射测试；</w:t>
      </w:r>
    </w:p>
    <w:p w14:paraId="3E147959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 xml:space="preserve">2.主机主要技术参数 </w:t>
      </w:r>
    </w:p>
    <w:p w14:paraId="7AFEE50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2.1波长范围：190～900nm（提供仪器彩页作为证明材料）</w:t>
      </w:r>
    </w:p>
    <w:p w14:paraId="49C4A752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2.2 光谱带宽：2nm</w:t>
      </w:r>
    </w:p>
    <w:p w14:paraId="63E8541D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2.3 最小光谱带宽：误差不超过标称光谱带宽的±20%</w:t>
      </w:r>
    </w:p>
    <w:p w14:paraId="23259C2D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2.4 波长准确度：0.3nm（A\B段）</w:t>
      </w:r>
    </w:p>
    <w:p w14:paraId="1708FE8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2.5 波长重现性：不大于0.1（A段）、不大于0.2（B段）</w:t>
      </w:r>
    </w:p>
    <w:p w14:paraId="41946291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2.6 透射比准确度：不大于±0.30% （A\B段）</w:t>
      </w:r>
    </w:p>
    <w:p w14:paraId="3DC5EF2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2.7 透射比重复性：≤0.10% T（A\B段）</w:t>
      </w:r>
    </w:p>
    <w:p w14:paraId="53889272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2.8 杂散光：≤0.01%T（A\B段）</w:t>
      </w:r>
    </w:p>
    <w:p w14:paraId="3D6C902F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2.9 基线平直度：±0.0008Abs（A\B段）</w:t>
      </w:r>
    </w:p>
    <w:p w14:paraId="35110F37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2.10 噪声 ：透射比为0%噪声：≤0.05%，透射比为100%噪声：≤0.1%，漂移≤0.1%</w:t>
      </w:r>
      <w:r w:rsidRPr="006C4251">
        <w:rPr>
          <w:rFonts w:ascii="宋体" w:eastAsia="宋体" w:hAnsi="宋体" w:hint="eastAsia"/>
          <w:sz w:val="24"/>
          <w:szCs w:val="24"/>
        </w:rPr>
        <w:t>。</w:t>
      </w:r>
      <w:r w:rsidRPr="006C4251">
        <w:rPr>
          <w:rFonts w:ascii="宋体" w:eastAsia="宋体" w:hAnsi="宋体"/>
          <w:sz w:val="24"/>
          <w:szCs w:val="24"/>
        </w:rPr>
        <w:t>2.11 CPU Intel i3以上 ≥3.0GHz ；内存 ≥8G，硬盘≥250GSSD，集成显卡，Windows10以上；显示器20-21.5英寸，激光打印机附加功能：复印，</w:t>
      </w:r>
      <w:r w:rsidRPr="006C4251">
        <w:rPr>
          <w:rFonts w:ascii="宋体" w:eastAsia="宋体" w:hAnsi="宋体"/>
          <w:sz w:val="24"/>
          <w:szCs w:val="24"/>
        </w:rPr>
        <w:lastRenderedPageBreak/>
        <w:t>扫描，打印最大支持幅面：A4无线打印：支持无线打印。</w:t>
      </w:r>
    </w:p>
    <w:p w14:paraId="2F52C8E8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3、配置要求10 mm 单孔比色</w:t>
      </w:r>
      <w:proofErr w:type="gramStart"/>
      <w:r w:rsidRPr="006C4251">
        <w:rPr>
          <w:rFonts w:ascii="宋体" w:eastAsia="宋体" w:hAnsi="宋体"/>
          <w:sz w:val="24"/>
          <w:szCs w:val="24"/>
        </w:rPr>
        <w:t>皿</w:t>
      </w:r>
      <w:proofErr w:type="gramEnd"/>
      <w:r w:rsidRPr="006C4251">
        <w:rPr>
          <w:rFonts w:ascii="宋体" w:eastAsia="宋体" w:hAnsi="宋体"/>
          <w:sz w:val="24"/>
          <w:szCs w:val="24"/>
        </w:rPr>
        <w:t>架（2只）、10 mm 玻璃比色</w:t>
      </w:r>
      <w:proofErr w:type="gramStart"/>
      <w:r w:rsidRPr="006C4251">
        <w:rPr>
          <w:rFonts w:ascii="宋体" w:eastAsia="宋体" w:hAnsi="宋体"/>
          <w:sz w:val="24"/>
          <w:szCs w:val="24"/>
        </w:rPr>
        <w:t>皿</w:t>
      </w:r>
      <w:proofErr w:type="gramEnd"/>
      <w:r w:rsidRPr="006C4251">
        <w:rPr>
          <w:rFonts w:ascii="宋体" w:eastAsia="宋体" w:hAnsi="宋体"/>
          <w:sz w:val="24"/>
          <w:szCs w:val="24"/>
        </w:rPr>
        <w:t>一盒（4只）、10 mm石英比色</w:t>
      </w:r>
      <w:proofErr w:type="gramStart"/>
      <w:r w:rsidRPr="006C4251">
        <w:rPr>
          <w:rFonts w:ascii="宋体" w:eastAsia="宋体" w:hAnsi="宋体"/>
          <w:sz w:val="24"/>
          <w:szCs w:val="24"/>
        </w:rPr>
        <w:t>皿</w:t>
      </w:r>
      <w:proofErr w:type="gramEnd"/>
      <w:r w:rsidRPr="006C4251">
        <w:rPr>
          <w:rFonts w:ascii="宋体" w:eastAsia="宋体" w:hAnsi="宋体"/>
          <w:sz w:val="24"/>
          <w:szCs w:val="24"/>
        </w:rPr>
        <w:t>一盒（2只）；使用手册一份、软件一套、软件说明书一份。电源线一根、防尘罩一个。</w:t>
      </w:r>
    </w:p>
    <w:p w14:paraId="2EC6196F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4、验收条款:到货验收以仪器彩页、说明书、合格证、货物清单及响应文件中所提供的证明材料复印件盖单位</w:t>
      </w:r>
      <w:r w:rsidRPr="006C4251">
        <w:rPr>
          <w:rFonts w:ascii="宋体" w:eastAsia="宋体" w:hAnsi="宋体" w:hint="eastAsia"/>
          <w:sz w:val="24"/>
          <w:szCs w:val="24"/>
        </w:rPr>
        <w:t>公章作为依据</w:t>
      </w:r>
      <w:r w:rsidRPr="006C4251">
        <w:rPr>
          <w:rFonts w:ascii="宋体" w:eastAsia="宋体" w:hAnsi="宋体"/>
          <w:sz w:val="24"/>
          <w:szCs w:val="24"/>
        </w:rPr>
        <w:t>,检查到货的完整性和符合性。项目</w:t>
      </w:r>
      <w:proofErr w:type="gramStart"/>
      <w:r w:rsidRPr="006C4251">
        <w:rPr>
          <w:rFonts w:ascii="宋体" w:eastAsia="宋体" w:hAnsi="宋体"/>
          <w:sz w:val="24"/>
          <w:szCs w:val="24"/>
        </w:rPr>
        <w:t>开专家</w:t>
      </w:r>
      <w:proofErr w:type="gramEnd"/>
      <w:r w:rsidRPr="006C4251">
        <w:rPr>
          <w:rFonts w:ascii="宋体" w:eastAsia="宋体" w:hAnsi="宋体"/>
          <w:sz w:val="24"/>
          <w:szCs w:val="24"/>
        </w:rPr>
        <w:t>会审核验收(预算已包含),以采购人属地的计量部门出具的检定证书为依据,不在证书范围的数据及参数</w:t>
      </w:r>
      <w:proofErr w:type="gramStart"/>
      <w:r w:rsidRPr="006C4251">
        <w:rPr>
          <w:rFonts w:ascii="宋体" w:eastAsia="宋体" w:hAnsi="宋体"/>
          <w:sz w:val="24"/>
          <w:szCs w:val="24"/>
        </w:rPr>
        <w:t>应现场</w:t>
      </w:r>
      <w:proofErr w:type="gramEnd"/>
      <w:r w:rsidRPr="006C4251">
        <w:rPr>
          <w:rFonts w:ascii="宋体" w:eastAsia="宋体" w:hAnsi="宋体"/>
          <w:sz w:val="24"/>
          <w:szCs w:val="24"/>
        </w:rPr>
        <w:t>测试或现场查看并出具验收报告供专家评审，验收不通过则无法付款，成交方应更换合格产品否则需承担违约责任。</w:t>
      </w:r>
    </w:p>
    <w:p w14:paraId="07540926" w14:textId="3DEFACD4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5、知识产权;拟采购全自动红外</w:t>
      </w:r>
      <w:proofErr w:type="gramStart"/>
      <w:r w:rsidRPr="006C4251">
        <w:rPr>
          <w:rFonts w:ascii="宋体" w:eastAsia="宋体" w:hAnsi="宋体"/>
          <w:sz w:val="24"/>
          <w:szCs w:val="24"/>
        </w:rPr>
        <w:t>测油仪技术</w:t>
      </w:r>
      <w:proofErr w:type="gramEnd"/>
      <w:r w:rsidRPr="006C4251">
        <w:rPr>
          <w:rFonts w:ascii="宋体" w:eastAsia="宋体" w:hAnsi="宋体"/>
          <w:sz w:val="24"/>
          <w:szCs w:val="24"/>
        </w:rPr>
        <w:t>参数</w:t>
      </w:r>
    </w:p>
    <w:p w14:paraId="725E75E6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★1.基本要求 主要应用于工业废水和生活污水中的石油类和动植物油类的测定, 符合 HJ 637-2018 《水质 石油类和动植物油类的测定 红外分光光度法》;兼有油烟测试功能,不包括前处理，符合标准HJ1077-2019《固定污染源废气 油烟和油雾的测定 红外分光光度法》</w:t>
      </w:r>
    </w:p>
    <w:p w14:paraId="57CE6818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2.主机主要技术参数 水质监测部分：</w:t>
      </w:r>
    </w:p>
    <w:p w14:paraId="4CDC71C0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★2.1 性能要求：水样体积自动测量并输入、试剂注射、萃取、分离、测量、稀释、清洗全自动完成，有自净的清洗流程避免交叉污染；仪器</w:t>
      </w:r>
      <w:proofErr w:type="gramStart"/>
      <w:r w:rsidRPr="006C4251">
        <w:rPr>
          <w:rFonts w:ascii="宋体" w:eastAsia="宋体" w:hAnsi="宋体"/>
          <w:sz w:val="24"/>
          <w:szCs w:val="24"/>
        </w:rPr>
        <w:t>需含但不</w:t>
      </w:r>
      <w:proofErr w:type="gramEnd"/>
      <w:r w:rsidRPr="006C4251">
        <w:rPr>
          <w:rFonts w:ascii="宋体" w:eastAsia="宋体" w:hAnsi="宋体"/>
          <w:sz w:val="24"/>
          <w:szCs w:val="24"/>
        </w:rPr>
        <w:t>限于前处理单元、自动进样单元、检测单元、数据分析和输出单元，各单元可联机工作。一次性可连续监测</w:t>
      </w:r>
      <w:proofErr w:type="gramStart"/>
      <w:r w:rsidRPr="006C4251">
        <w:rPr>
          <w:rFonts w:ascii="宋体" w:eastAsia="宋体" w:hAnsi="宋体"/>
          <w:sz w:val="24"/>
          <w:szCs w:val="24"/>
        </w:rPr>
        <w:t>工位数</w:t>
      </w:r>
      <w:proofErr w:type="gramEnd"/>
      <w:r w:rsidRPr="006C4251">
        <w:rPr>
          <w:rFonts w:ascii="宋体" w:eastAsia="宋体" w:hAnsi="宋体"/>
          <w:sz w:val="24"/>
          <w:szCs w:val="24"/>
        </w:rPr>
        <w:t>≥9个工位。仪器材质：前处理系统及连接进样管道采用全防腐的、</w:t>
      </w:r>
      <w:proofErr w:type="gramStart"/>
      <w:r w:rsidRPr="006C4251">
        <w:rPr>
          <w:rFonts w:ascii="宋体" w:eastAsia="宋体" w:hAnsi="宋体"/>
          <w:sz w:val="24"/>
          <w:szCs w:val="24"/>
        </w:rPr>
        <w:t>不</w:t>
      </w:r>
      <w:proofErr w:type="gramEnd"/>
      <w:r w:rsidRPr="006C4251">
        <w:rPr>
          <w:rFonts w:ascii="宋体" w:eastAsia="宋体" w:hAnsi="宋体"/>
          <w:sz w:val="24"/>
          <w:szCs w:val="24"/>
        </w:rPr>
        <w:t>亲油的材质。水样瓶容量不小于500ml。</w:t>
      </w:r>
    </w:p>
    <w:p w14:paraId="0EEAC832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2.2 校正方法：系数法校准；</w:t>
      </w:r>
    </w:p>
    <w:p w14:paraId="332AEC7C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2.3 废液收集： 自带废液回收器：废液中的试剂与水</w:t>
      </w:r>
      <w:r w:rsidRPr="006C4251">
        <w:rPr>
          <w:rFonts w:ascii="宋体" w:eastAsia="宋体" w:hAnsi="宋体" w:hint="eastAsia"/>
          <w:sz w:val="24"/>
          <w:szCs w:val="24"/>
        </w:rPr>
        <w:t>完全自动分离。测试完毕的水样和溶剂自动排空到不同废液桶；</w:t>
      </w:r>
    </w:p>
    <w:p w14:paraId="11A36F37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2.4水、油分离方式：使用油水分离膜，或无水硫酸钠或精制硅胶吸水。极性</w:t>
      </w:r>
      <w:proofErr w:type="gramStart"/>
      <w:r w:rsidRPr="006C4251">
        <w:rPr>
          <w:rFonts w:ascii="宋体" w:eastAsia="宋体" w:hAnsi="宋体"/>
          <w:sz w:val="24"/>
          <w:szCs w:val="24"/>
        </w:rPr>
        <w:t>油采</w:t>
      </w:r>
      <w:proofErr w:type="gramEnd"/>
      <w:r w:rsidRPr="006C4251">
        <w:rPr>
          <w:rFonts w:ascii="宋体" w:eastAsia="宋体" w:hAnsi="宋体"/>
          <w:sz w:val="24"/>
          <w:szCs w:val="24"/>
        </w:rPr>
        <w:t xml:space="preserve">用硅酸镁吸附。 </w:t>
      </w:r>
    </w:p>
    <w:p w14:paraId="64150806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2.5 分析软件：采用双系统分析，分别满足四氯化碳及四氯乙烯做萃取剂的使用方法；软件</w:t>
      </w:r>
      <w:proofErr w:type="gramStart"/>
      <w:r w:rsidRPr="006C4251">
        <w:rPr>
          <w:rFonts w:ascii="宋体" w:eastAsia="宋体" w:hAnsi="宋体"/>
          <w:sz w:val="24"/>
          <w:szCs w:val="24"/>
        </w:rPr>
        <w:t>工作站及谱图</w:t>
      </w:r>
      <w:proofErr w:type="gramEnd"/>
      <w:r w:rsidRPr="006C4251">
        <w:rPr>
          <w:rFonts w:ascii="宋体" w:eastAsia="宋体" w:hAnsi="宋体"/>
          <w:sz w:val="24"/>
          <w:szCs w:val="24"/>
        </w:rPr>
        <w:t>、扫描、分析、计算、储存、打印于一体，具备一</w:t>
      </w:r>
      <w:r w:rsidRPr="006C4251">
        <w:rPr>
          <w:rFonts w:ascii="宋体" w:eastAsia="宋体" w:hAnsi="宋体"/>
          <w:sz w:val="24"/>
          <w:szCs w:val="24"/>
        </w:rPr>
        <w:lastRenderedPageBreak/>
        <w:t xml:space="preserve">个或多个样品分析报告功能，分析报表可根据需求自定义输出。格式可自定义打印。 </w:t>
      </w:r>
    </w:p>
    <w:p w14:paraId="0EAF65B4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 xml:space="preserve">2.6线性：＞0.999； </w:t>
      </w:r>
    </w:p>
    <w:p w14:paraId="3F945AB9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2.7波数范围：2400cm-1～3400cm-1（提供有效证明材料仪器彩页）</w:t>
      </w:r>
    </w:p>
    <w:p w14:paraId="142F0A31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2.8水样测量范围：0-600mg/L；</w:t>
      </w:r>
    </w:p>
    <w:p w14:paraId="77772A40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2.9 仪器检出限： DL＜0.04mg/L(测量四氯乙烯 11 次空白计算 2.764倍标准偏差)</w:t>
      </w:r>
    </w:p>
    <w:p w14:paraId="68D08E93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2.10方法检出限：取样体积为500ml，萃取液体积为50ml,使用4cm石英比色</w:t>
      </w:r>
      <w:proofErr w:type="gramStart"/>
      <w:r w:rsidRPr="006C4251">
        <w:rPr>
          <w:rFonts w:ascii="宋体" w:eastAsia="宋体" w:hAnsi="宋体"/>
          <w:sz w:val="24"/>
          <w:szCs w:val="24"/>
        </w:rPr>
        <w:t>皿</w:t>
      </w:r>
      <w:proofErr w:type="gramEnd"/>
      <w:r w:rsidRPr="006C4251">
        <w:rPr>
          <w:rFonts w:ascii="宋体" w:eastAsia="宋体" w:hAnsi="宋体"/>
          <w:sz w:val="24"/>
          <w:szCs w:val="24"/>
        </w:rPr>
        <w:t>，≤0.06mg/L</w:t>
      </w:r>
    </w:p>
    <w:p w14:paraId="5FE4BBD5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 xml:space="preserve">2.11重现性：RSD＜2%； </w:t>
      </w:r>
    </w:p>
    <w:p w14:paraId="354BD776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2.12测量准确度：示值误差：不超过±8%(＞10mg/l)；不超过±0.8mg/L(＜10mg/l)</w:t>
      </w:r>
    </w:p>
    <w:p w14:paraId="5127CCE1" w14:textId="7EEBC0AE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2.13测量时间：小于20分钟一个水样。</w:t>
      </w:r>
    </w:p>
    <w:p w14:paraId="3A660311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2.14 加标回收率：对空白样品进行加</w:t>
      </w:r>
      <w:proofErr w:type="gramStart"/>
      <w:r w:rsidRPr="006C4251">
        <w:rPr>
          <w:rFonts w:ascii="宋体" w:eastAsia="宋体" w:hAnsi="宋体"/>
          <w:sz w:val="24"/>
          <w:szCs w:val="24"/>
        </w:rPr>
        <w:t>标分析</w:t>
      </w:r>
      <w:proofErr w:type="gramEnd"/>
      <w:r w:rsidRPr="006C4251">
        <w:rPr>
          <w:rFonts w:ascii="宋体" w:eastAsia="宋体" w:hAnsi="宋体"/>
          <w:sz w:val="24"/>
          <w:szCs w:val="24"/>
        </w:rPr>
        <w:t>测定，加标量为0.50mg、2.00mg,需符合加标回收率达到:90%-105%，90%-102%。油烟部分的参数（兼有）</w:t>
      </w:r>
    </w:p>
    <w:p w14:paraId="20C54C5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2.15配套软件需兼有四氯乙烯中的油烟谱图分析、计算、及输出数据功能。</w:t>
      </w:r>
    </w:p>
    <w:p w14:paraId="08DF5897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2.16油烟标准油测量范围：0-100mg/L。</w:t>
      </w:r>
    </w:p>
    <w:p w14:paraId="3836F080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2.17油烟测试准确度：用有证油烟标准油测试，最大允许误差：不超过±10%。</w:t>
      </w:r>
    </w:p>
    <w:p w14:paraId="78D7B7E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2.18电脑主机、显示器、打印机配置：CPU Intel i3以上 ≥3.0GHz ；内存 ≥8G，硬盘≥250GSSD，集成显卡，Windows10以上；显示器20-21.5英寸，激光打印机附加功能：复印，扫描，打印最大支持幅面：A4无线打印：支持无线打印。</w:t>
      </w:r>
    </w:p>
    <w:p w14:paraId="60B50613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 xml:space="preserve">3.仪器配置要求： </w:t>
      </w:r>
    </w:p>
    <w:p w14:paraId="528802C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3.1 耗</w:t>
      </w:r>
      <w:r w:rsidRPr="006C4251">
        <w:rPr>
          <w:rFonts w:ascii="宋体" w:eastAsia="宋体" w:hAnsi="宋体" w:hint="eastAsia"/>
          <w:sz w:val="24"/>
          <w:szCs w:val="24"/>
        </w:rPr>
        <w:t>材配件</w:t>
      </w:r>
      <w:r w:rsidRPr="006C4251">
        <w:rPr>
          <w:rFonts w:ascii="宋体" w:eastAsia="宋体" w:hAnsi="宋体"/>
          <w:sz w:val="24"/>
          <w:szCs w:val="24"/>
        </w:rPr>
        <w:t>1 套 (精致硅酸镁一瓶，油水分离膜50片或精制硅酸或无水硫酸钠一瓶，4cm石英比色</w:t>
      </w:r>
      <w:proofErr w:type="gramStart"/>
      <w:r w:rsidRPr="006C4251">
        <w:rPr>
          <w:rFonts w:ascii="宋体" w:eastAsia="宋体" w:hAnsi="宋体"/>
          <w:sz w:val="24"/>
          <w:szCs w:val="24"/>
        </w:rPr>
        <w:t>皿</w:t>
      </w:r>
      <w:proofErr w:type="gramEnd"/>
      <w:r w:rsidRPr="006C4251">
        <w:rPr>
          <w:rFonts w:ascii="宋体" w:eastAsia="宋体" w:hAnsi="宋体"/>
          <w:sz w:val="24"/>
          <w:szCs w:val="24"/>
        </w:rPr>
        <w:t>1 套2个，石油类标准油2套（校准系数用的单标），油烟标准油高低浓度各2支）</w:t>
      </w:r>
    </w:p>
    <w:p w14:paraId="2E1D2BA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3.2 专业</w:t>
      </w:r>
      <w:proofErr w:type="gramStart"/>
      <w:r w:rsidRPr="006C4251">
        <w:rPr>
          <w:rFonts w:ascii="宋体" w:eastAsia="宋体" w:hAnsi="宋体"/>
          <w:sz w:val="24"/>
          <w:szCs w:val="24"/>
        </w:rPr>
        <w:t>油采样设备</w:t>
      </w:r>
      <w:proofErr w:type="gramEnd"/>
      <w:r w:rsidRPr="006C4251">
        <w:rPr>
          <w:rFonts w:ascii="宋体" w:eastAsia="宋体" w:hAnsi="宋体"/>
          <w:sz w:val="24"/>
          <w:szCs w:val="24"/>
        </w:rPr>
        <w:t xml:space="preserve"> 2套、分析瓶2套（2*工位数）、油烟标准油（有证）</w:t>
      </w:r>
      <w:r w:rsidRPr="006C4251">
        <w:rPr>
          <w:rFonts w:ascii="宋体" w:eastAsia="宋体" w:hAnsi="宋体"/>
          <w:sz w:val="24"/>
          <w:szCs w:val="24"/>
        </w:rPr>
        <w:lastRenderedPageBreak/>
        <w:t>高低浓度各1支（</w:t>
      </w:r>
      <w:proofErr w:type="gramStart"/>
      <w:r w:rsidRPr="006C4251">
        <w:rPr>
          <w:rFonts w:ascii="宋体" w:eastAsia="宋体" w:hAnsi="宋体"/>
          <w:sz w:val="24"/>
          <w:szCs w:val="24"/>
        </w:rPr>
        <w:t>配置少</w:t>
      </w:r>
      <w:proofErr w:type="gramEnd"/>
      <w:r w:rsidRPr="006C4251">
        <w:rPr>
          <w:rFonts w:ascii="宋体" w:eastAsia="宋体" w:hAnsi="宋体"/>
          <w:sz w:val="24"/>
          <w:szCs w:val="24"/>
        </w:rPr>
        <w:t>一样扣一分，扣完为止）</w:t>
      </w:r>
    </w:p>
    <w:p w14:paraId="12377E33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4、验收条款:到货验收以仪器彩页、说明书、合格证、供货清单及响应文件中所提供的证书复印件盖单位公章作为依据,检查到货的完整性和符合性。项目</w:t>
      </w:r>
      <w:proofErr w:type="gramStart"/>
      <w:r w:rsidRPr="006C4251">
        <w:rPr>
          <w:rFonts w:ascii="宋体" w:eastAsia="宋体" w:hAnsi="宋体"/>
          <w:sz w:val="24"/>
          <w:szCs w:val="24"/>
        </w:rPr>
        <w:t>开专家</w:t>
      </w:r>
      <w:proofErr w:type="gramEnd"/>
      <w:r w:rsidRPr="006C4251">
        <w:rPr>
          <w:rFonts w:ascii="宋体" w:eastAsia="宋体" w:hAnsi="宋体"/>
          <w:sz w:val="24"/>
          <w:szCs w:val="24"/>
        </w:rPr>
        <w:t>会审核验收,预算已包含：提供当地计量检定机构出具的校准证书或检测报告为依据,不在证</w:t>
      </w:r>
      <w:r w:rsidRPr="006C4251">
        <w:rPr>
          <w:rFonts w:ascii="宋体" w:eastAsia="宋体" w:hAnsi="宋体" w:hint="eastAsia"/>
          <w:sz w:val="24"/>
          <w:szCs w:val="24"/>
        </w:rPr>
        <w:t>书范围的数据及参数</w:t>
      </w:r>
      <w:proofErr w:type="gramStart"/>
      <w:r w:rsidRPr="006C4251">
        <w:rPr>
          <w:rFonts w:ascii="宋体" w:eastAsia="宋体" w:hAnsi="宋体" w:hint="eastAsia"/>
          <w:sz w:val="24"/>
          <w:szCs w:val="24"/>
        </w:rPr>
        <w:t>应现场</w:t>
      </w:r>
      <w:proofErr w:type="gramEnd"/>
      <w:r w:rsidRPr="006C4251">
        <w:rPr>
          <w:rFonts w:ascii="宋体" w:eastAsia="宋体" w:hAnsi="宋体" w:hint="eastAsia"/>
          <w:sz w:val="24"/>
          <w:szCs w:val="24"/>
        </w:rPr>
        <w:t>测试或现场查看并出具验收报告及结论，验收不通过则无法付款，成交方应更换合格产品否则需承担违约责任。</w:t>
      </w:r>
    </w:p>
    <w:p w14:paraId="3F07734D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5、知识产权;拟购洗瓶机参数</w:t>
      </w:r>
    </w:p>
    <w:p w14:paraId="5BE77A52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1、基本要求</w:t>
      </w:r>
    </w:p>
    <w:p w14:paraId="41BF795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1.1、仪器用途：</w:t>
      </w:r>
    </w:p>
    <w:p w14:paraId="36F54603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1、用于实验室玻璃、陶瓷、金属或塑料等材质器皿的清洗及烘干。</w:t>
      </w:r>
    </w:p>
    <w:p w14:paraId="5DC88B8B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 xml:space="preserve">1.2、材质和容量：不锈钢外壳和 316L 不锈钢内胆。 至少可放置两层清洗篮架，单次可清洗不少于 300 </w:t>
      </w:r>
      <w:proofErr w:type="gramStart"/>
      <w:r w:rsidRPr="006C4251">
        <w:rPr>
          <w:rFonts w:ascii="宋体" w:eastAsia="宋体" w:hAnsi="宋体"/>
          <w:sz w:val="24"/>
          <w:szCs w:val="24"/>
        </w:rPr>
        <w:t>个</w:t>
      </w:r>
      <w:proofErr w:type="gramEnd"/>
      <w:r w:rsidRPr="006C4251">
        <w:rPr>
          <w:rFonts w:ascii="宋体" w:eastAsia="宋体" w:hAnsi="宋体"/>
          <w:sz w:val="24"/>
          <w:szCs w:val="24"/>
        </w:rPr>
        <w:t xml:space="preserve">试剂瓶、试管、容量瓶、锥形瓶、采样瓶、移液管等玻璃仪器瓶（不限于以上类型） </w:t>
      </w:r>
    </w:p>
    <w:p w14:paraId="6117D60B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1.3、微电脑控制程序，清洗程序可依据清洗需要进行设置或选择</w:t>
      </w:r>
    </w:p>
    <w:p w14:paraId="185E659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1.4设备可独立安装或内嵌</w:t>
      </w:r>
      <w:r w:rsidRPr="006C4251">
        <w:rPr>
          <w:rFonts w:ascii="宋体" w:eastAsia="宋体" w:hAnsi="宋体" w:hint="eastAsia"/>
          <w:sz w:val="24"/>
          <w:szCs w:val="24"/>
        </w:rPr>
        <w:t>式安装水循环系统：</w:t>
      </w:r>
    </w:p>
    <w:p w14:paraId="0FB49D9D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2.1内置软化水系统，去除水中钙镁离子，防止水垢，保护不锈钢内胆，配有自动再生装置2.2采用流量计监测流量，保证进水量的准确性，以确保清洗剂与水的精确配比洗涤废水自动排放控制系统</w:t>
      </w:r>
    </w:p>
    <w:p w14:paraId="2827C40E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3.1微电脑单片机控制模式，适应高温高湿度的工作环境。</w:t>
      </w:r>
    </w:p>
    <w:p w14:paraId="457FEEE4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3.2漂洗水温可调整</w:t>
      </w:r>
    </w:p>
    <w:p w14:paraId="0D4834CB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4、安全保护系统：安全接地，配有电子安全锁、水温过热保护、防溢水、漏水防漏电、停水自动恢复功能、清洗剂缺液后自动显示提醒功能、具有多层过滤系统、仪器开门自动断电保护。干燥系统;温度可调，干燥时间不超过30分钟。</w:t>
      </w:r>
    </w:p>
    <w:p w14:paraId="6B769075" w14:textId="28C92806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 w:hint="eastAsia"/>
          <w:sz w:val="24"/>
          <w:szCs w:val="24"/>
        </w:rPr>
        <w:t>5、</w:t>
      </w:r>
      <w:r w:rsidRPr="006C4251">
        <w:rPr>
          <w:rFonts w:ascii="宋体" w:eastAsia="宋体" w:hAnsi="宋体"/>
          <w:sz w:val="24"/>
          <w:szCs w:val="24"/>
        </w:rPr>
        <w:t>配置要求</w:t>
      </w:r>
    </w:p>
    <w:p w14:paraId="2561C768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5.1、清洗机主机1台、</w:t>
      </w:r>
      <w:r w:rsidRPr="006C4251">
        <w:rPr>
          <w:rFonts w:ascii="宋体" w:eastAsia="宋体" w:hAnsi="宋体" w:hint="eastAsia"/>
          <w:sz w:val="24"/>
          <w:szCs w:val="24"/>
        </w:rPr>
        <w:t>配增压泵</w:t>
      </w:r>
    </w:p>
    <w:p w14:paraId="7C79007F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5.2、不少于双层清洗篮架（包括移液管清洗篮架、小瓶清洗篮架、大瓶清洗篮架）5.3、清洗剂：强碱性清洗剂5升，用于较难清洗的油污类污染物。酸</w:t>
      </w:r>
      <w:r w:rsidRPr="006C4251">
        <w:rPr>
          <w:rFonts w:ascii="宋体" w:eastAsia="宋体" w:hAnsi="宋体"/>
          <w:sz w:val="24"/>
          <w:szCs w:val="24"/>
        </w:rPr>
        <w:lastRenderedPageBreak/>
        <w:t>性中和清洗剂5升，用于碱性清洗之后的中和，去除金属氧化物、水垢。</w:t>
      </w:r>
    </w:p>
    <w:p w14:paraId="4885F0FD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6、验收条款:到货验收以仪器彩页、说明书、合格证、供货清单及响应文件中所提供的证书复印件盖单位公章作为依据,检查到货的完整性和符合性。</w:t>
      </w:r>
    </w:p>
    <w:p w14:paraId="686A43FB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洗瓶机验收标准：</w:t>
      </w:r>
    </w:p>
    <w:p w14:paraId="697085A1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1、清洗好的容器应符合清洁玻璃仪器的判定标准</w:t>
      </w:r>
    </w:p>
    <w:p w14:paraId="0E8360C8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2、做空白实验进行检验，低于检出限。</w:t>
      </w:r>
    </w:p>
    <w:p w14:paraId="529C6076" w14:textId="77777777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3、仪器的破损率不大于1%。</w:t>
      </w:r>
    </w:p>
    <w:p w14:paraId="361663F1" w14:textId="61248F5A" w:rsidR="006C4251" w:rsidRPr="006C4251" w:rsidRDefault="006C4251" w:rsidP="006C4251">
      <w:pPr>
        <w:adjustRightInd w:val="0"/>
        <w:snapToGrid w:val="0"/>
        <w:spacing w:line="500" w:lineRule="exac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6C4251">
        <w:rPr>
          <w:rFonts w:ascii="宋体" w:eastAsia="宋体" w:hAnsi="宋体"/>
          <w:sz w:val="24"/>
          <w:szCs w:val="24"/>
        </w:rPr>
        <w:t>7、知识产权;</w:t>
      </w:r>
    </w:p>
    <w:sectPr w:rsidR="006C4251" w:rsidRPr="006C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539F" w14:textId="77777777" w:rsidR="00F54B9A" w:rsidRDefault="00F54B9A" w:rsidP="006C4251">
      <w:r>
        <w:separator/>
      </w:r>
    </w:p>
  </w:endnote>
  <w:endnote w:type="continuationSeparator" w:id="0">
    <w:p w14:paraId="43C47575" w14:textId="77777777" w:rsidR="00F54B9A" w:rsidRDefault="00F54B9A" w:rsidP="006C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79DC1" w14:textId="77777777" w:rsidR="00F54B9A" w:rsidRDefault="00F54B9A" w:rsidP="006C4251">
      <w:r>
        <w:separator/>
      </w:r>
    </w:p>
  </w:footnote>
  <w:footnote w:type="continuationSeparator" w:id="0">
    <w:p w14:paraId="1FC7574C" w14:textId="77777777" w:rsidR="00F54B9A" w:rsidRDefault="00F54B9A" w:rsidP="006C4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98"/>
    <w:rsid w:val="006C4251"/>
    <w:rsid w:val="00BC011B"/>
    <w:rsid w:val="00E63C98"/>
    <w:rsid w:val="00F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BE58B"/>
  <w15:chartTrackingRefBased/>
  <w15:docId w15:val="{4F97A565-4503-4591-A7AA-25413835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42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4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4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2021-08-31T01:40:00Z</dcterms:created>
  <dcterms:modified xsi:type="dcterms:W3CDTF">2021-08-31T01:55:00Z</dcterms:modified>
</cp:coreProperties>
</file>