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0490" w:rsidRDefault="00000000">
      <w:pPr>
        <w:pStyle w:val="1"/>
        <w:jc w:val="center"/>
        <w:rPr>
          <w:rFonts w:ascii="Times New Roman" w:eastAsia="黑体" w:hAnsi="Times New Roman"/>
          <w:sz w:val="52"/>
          <w:szCs w:val="52"/>
        </w:rPr>
      </w:pPr>
      <w:r>
        <w:rPr>
          <w:rFonts w:ascii="Times New Roman" w:eastAsia="黑体" w:hAnsi="Times New Roman" w:hint="eastAsia"/>
          <w:sz w:val="52"/>
          <w:szCs w:val="52"/>
        </w:rPr>
        <w:t xml:space="preserve"> </w:t>
      </w:r>
      <w:r>
        <w:rPr>
          <w:rFonts w:ascii="Times New Roman" w:eastAsia="黑体" w:hAnsi="Times New Roman" w:hint="eastAsia"/>
          <w:sz w:val="52"/>
          <w:szCs w:val="52"/>
        </w:rPr>
        <w:t>中国仪器仪表行业协会团体标准</w:t>
      </w:r>
    </w:p>
    <w:p w:rsidR="00C60490" w:rsidRDefault="00C60490">
      <w:pPr>
        <w:rPr>
          <w:rFonts w:ascii="Times New Roman" w:eastAsia="黑体" w:hAnsi="Times New Roman"/>
          <w:sz w:val="52"/>
          <w:szCs w:val="52"/>
        </w:rPr>
      </w:pPr>
    </w:p>
    <w:p w:rsidR="00C60490" w:rsidRDefault="00000000">
      <w:pPr>
        <w:pStyle w:val="1"/>
        <w:jc w:val="center"/>
        <w:rPr>
          <w:rFonts w:ascii="Times New Roman" w:hAnsi="Times New Roman"/>
        </w:rPr>
      </w:pPr>
      <w:r>
        <w:rPr>
          <w:rFonts w:ascii="Times New Roman" w:hAnsi="Times New Roman" w:hint="eastAsia"/>
        </w:rPr>
        <w:t>《农排智能终端功能规范》</w:t>
      </w:r>
    </w:p>
    <w:p w:rsidR="00C60490" w:rsidRDefault="00C60490">
      <w:pPr>
        <w:rPr>
          <w:rFonts w:ascii="Times New Roman" w:hAnsi="Times New Roman"/>
          <w:sz w:val="44"/>
          <w:szCs w:val="44"/>
        </w:rPr>
      </w:pPr>
    </w:p>
    <w:p w:rsidR="00C60490" w:rsidRDefault="00C60490">
      <w:pPr>
        <w:rPr>
          <w:rFonts w:ascii="Times New Roman" w:hAnsi="Times New Roman"/>
          <w:sz w:val="44"/>
          <w:szCs w:val="44"/>
        </w:rPr>
      </w:pPr>
    </w:p>
    <w:p w:rsidR="00C60490" w:rsidRDefault="00C60490">
      <w:pPr>
        <w:rPr>
          <w:rFonts w:ascii="Times New Roman" w:hAnsi="Times New Roman"/>
          <w:sz w:val="44"/>
          <w:szCs w:val="44"/>
        </w:rPr>
      </w:pPr>
    </w:p>
    <w:p w:rsidR="00C60490" w:rsidRDefault="00000000">
      <w:pPr>
        <w:pStyle w:val="1"/>
        <w:jc w:val="center"/>
        <w:rPr>
          <w:rFonts w:ascii="Times New Roman" w:hAnsi="Times New Roman"/>
        </w:rPr>
      </w:pPr>
      <w:r>
        <w:rPr>
          <w:rFonts w:ascii="Times New Roman" w:hAnsi="Times New Roman" w:hint="eastAsia"/>
        </w:rPr>
        <w:t>编制说明</w:t>
      </w:r>
    </w:p>
    <w:p w:rsidR="00C60490" w:rsidRDefault="00000000">
      <w:pPr>
        <w:jc w:val="center"/>
        <w:rPr>
          <w:rFonts w:ascii="Times New Roman" w:hAnsi="Times New Roman"/>
          <w:sz w:val="28"/>
          <w:szCs w:val="28"/>
        </w:rPr>
      </w:pPr>
      <w:r>
        <w:rPr>
          <w:rFonts w:ascii="Times New Roman" w:hAnsi="Times New Roman" w:hint="eastAsia"/>
          <w:sz w:val="28"/>
          <w:szCs w:val="28"/>
        </w:rPr>
        <w:t>（</w:t>
      </w:r>
      <w:r>
        <w:rPr>
          <w:rFonts w:ascii="Times New Roman" w:hAnsi="Times New Roman" w:hint="eastAsia"/>
          <w:b/>
          <w:bCs/>
          <w:sz w:val="28"/>
          <w:szCs w:val="28"/>
        </w:rPr>
        <w:t>征求意见稿</w:t>
      </w:r>
      <w:r>
        <w:rPr>
          <w:rFonts w:ascii="Times New Roman" w:hAnsi="Times New Roman" w:hint="eastAsia"/>
          <w:sz w:val="28"/>
          <w:szCs w:val="28"/>
        </w:rPr>
        <w:t>）</w:t>
      </w:r>
    </w:p>
    <w:p w:rsidR="00C60490" w:rsidRDefault="00000000">
      <w:pPr>
        <w:rPr>
          <w:rFonts w:ascii="Times New Roman" w:hAnsi="Times New Roman"/>
          <w:sz w:val="28"/>
          <w:szCs w:val="28"/>
        </w:rPr>
      </w:pPr>
      <w:r>
        <w:rPr>
          <w:rFonts w:ascii="Times New Roman" w:hAnsi="Times New Roman" w:hint="eastAsia"/>
          <w:sz w:val="28"/>
          <w:szCs w:val="28"/>
        </w:rPr>
        <w:t xml:space="preserve">                          </w:t>
      </w:r>
    </w:p>
    <w:p w:rsidR="00C60490" w:rsidRDefault="00C60490">
      <w:pPr>
        <w:rPr>
          <w:rFonts w:ascii="Times New Roman" w:hAnsi="Times New Roman"/>
          <w:sz w:val="28"/>
          <w:szCs w:val="28"/>
        </w:rPr>
      </w:pPr>
    </w:p>
    <w:p w:rsidR="00C60490" w:rsidRDefault="00C60490">
      <w:pPr>
        <w:rPr>
          <w:rFonts w:ascii="Times New Roman" w:hAnsi="Times New Roman"/>
          <w:sz w:val="28"/>
          <w:szCs w:val="28"/>
        </w:rPr>
      </w:pPr>
    </w:p>
    <w:p w:rsidR="00C60490" w:rsidRDefault="00C60490">
      <w:pPr>
        <w:rPr>
          <w:rFonts w:ascii="Times New Roman" w:hAnsi="Times New Roman"/>
          <w:sz w:val="28"/>
          <w:szCs w:val="28"/>
        </w:rPr>
      </w:pPr>
    </w:p>
    <w:p w:rsidR="00C60490" w:rsidRDefault="00C60490">
      <w:pPr>
        <w:rPr>
          <w:rFonts w:ascii="Times New Roman" w:hAnsi="Times New Roman"/>
          <w:sz w:val="28"/>
          <w:szCs w:val="28"/>
        </w:rPr>
      </w:pPr>
    </w:p>
    <w:p w:rsidR="00C60490" w:rsidRDefault="00000000">
      <w:pPr>
        <w:jc w:val="center"/>
        <w:rPr>
          <w:rFonts w:ascii="Times New Roman" w:hAnsi="Times New Roman"/>
          <w:sz w:val="28"/>
          <w:szCs w:val="28"/>
        </w:rPr>
      </w:pPr>
      <w:r>
        <w:rPr>
          <w:rFonts w:ascii="Times New Roman" w:hAnsi="Times New Roman" w:hint="eastAsia"/>
          <w:sz w:val="28"/>
          <w:szCs w:val="28"/>
        </w:rPr>
        <w:t>20230103</w:t>
      </w:r>
    </w:p>
    <w:p w:rsidR="00C60490" w:rsidRDefault="00C60490">
      <w:pPr>
        <w:pStyle w:val="af7"/>
        <w:ind w:firstLineChars="0" w:firstLine="0"/>
        <w:jc w:val="center"/>
        <w:rPr>
          <w:rFonts w:ascii="黑体" w:eastAsia="黑体" w:hAnsi="黑体" w:cs="黑体"/>
          <w:sz w:val="28"/>
          <w:szCs w:val="28"/>
        </w:rPr>
      </w:pPr>
    </w:p>
    <w:p w:rsidR="00C60490" w:rsidRDefault="00C60490">
      <w:pPr>
        <w:pStyle w:val="af7"/>
        <w:ind w:firstLineChars="500" w:firstLine="1400"/>
        <w:jc w:val="left"/>
        <w:rPr>
          <w:rFonts w:ascii="黑体" w:eastAsia="黑体" w:hAnsi="黑体" w:cs="黑体"/>
          <w:sz w:val="28"/>
          <w:szCs w:val="28"/>
        </w:rPr>
      </w:pPr>
    </w:p>
    <w:p w:rsidR="00C60490" w:rsidRDefault="00C60490">
      <w:pPr>
        <w:pStyle w:val="af7"/>
        <w:ind w:firstLineChars="500" w:firstLine="1400"/>
        <w:jc w:val="left"/>
        <w:rPr>
          <w:rFonts w:ascii="黑体" w:eastAsia="黑体" w:hAnsi="黑体" w:cs="黑体"/>
          <w:sz w:val="28"/>
          <w:szCs w:val="28"/>
        </w:rPr>
      </w:pPr>
    </w:p>
    <w:p w:rsidR="00C60490" w:rsidRDefault="00C60490">
      <w:pPr>
        <w:pStyle w:val="af7"/>
        <w:ind w:firstLineChars="500" w:firstLine="1400"/>
        <w:jc w:val="left"/>
        <w:rPr>
          <w:rFonts w:ascii="黑体" w:eastAsia="黑体" w:hAnsi="黑体" w:cs="黑体"/>
          <w:sz w:val="28"/>
          <w:szCs w:val="28"/>
        </w:rPr>
      </w:pPr>
    </w:p>
    <w:p w:rsidR="00C60490" w:rsidRDefault="00C60490">
      <w:pPr>
        <w:pStyle w:val="af8"/>
        <w:spacing w:before="360" w:after="360"/>
        <w:rPr>
          <w:rFonts w:hAnsi="黑体" w:cs="黑体"/>
          <w:shd w:val="clear" w:color="auto" w:fill="FFFFFF"/>
        </w:rPr>
        <w:sectPr w:rsidR="00C60490">
          <w:pgSz w:w="11906" w:h="16838"/>
          <w:pgMar w:top="1440" w:right="1800" w:bottom="1440" w:left="1800" w:header="851" w:footer="992" w:gutter="0"/>
          <w:cols w:space="720"/>
          <w:docGrid w:type="lines" w:linePitch="312"/>
        </w:sectPr>
      </w:pPr>
    </w:p>
    <w:p w:rsidR="00C60490" w:rsidRDefault="00000000">
      <w:pPr>
        <w:pStyle w:val="20"/>
        <w:rPr>
          <w:rFonts w:ascii="宋体" w:hAnsi="宋体" w:cs="宋体"/>
          <w:sz w:val="28"/>
          <w:szCs w:val="28"/>
        </w:rPr>
      </w:pPr>
      <w:r>
        <w:rPr>
          <w:rFonts w:ascii="宋体" w:hAnsi="宋体" w:cs="宋体" w:hint="eastAsia"/>
          <w:sz w:val="28"/>
          <w:szCs w:val="28"/>
        </w:rPr>
        <w:lastRenderedPageBreak/>
        <w:t>一、 工作简况</w:t>
      </w:r>
    </w:p>
    <w:p w:rsidR="00C60490" w:rsidRDefault="00000000">
      <w:pPr>
        <w:pStyle w:val="20"/>
        <w:rPr>
          <w:rFonts w:ascii="宋体" w:hAnsi="宋体" w:cs="宋体"/>
          <w:sz w:val="28"/>
          <w:szCs w:val="28"/>
        </w:rPr>
      </w:pPr>
      <w:r>
        <w:rPr>
          <w:rFonts w:ascii="宋体" w:hAnsi="宋体" w:cs="宋体" w:hint="eastAsia"/>
          <w:sz w:val="28"/>
          <w:szCs w:val="28"/>
        </w:rPr>
        <w:t>1．任务来源</w:t>
      </w:r>
    </w:p>
    <w:p w:rsidR="00C60490" w:rsidRDefault="00000000">
      <w:pPr>
        <w:pStyle w:val="20"/>
        <w:ind w:firstLineChars="200" w:firstLine="480"/>
        <w:rPr>
          <w:rFonts w:ascii="宋体" w:hAnsi="宋体" w:cs="宋体"/>
          <w:b w:val="0"/>
          <w:bCs w:val="0"/>
          <w:kern w:val="2"/>
          <w:sz w:val="24"/>
          <w:szCs w:val="24"/>
        </w:rPr>
      </w:pPr>
      <w:r>
        <w:rPr>
          <w:rFonts w:ascii="宋体" w:hAnsi="宋体" w:cs="宋体" w:hint="eastAsia"/>
          <w:b w:val="0"/>
          <w:bCs w:val="0"/>
          <w:kern w:val="2"/>
          <w:sz w:val="24"/>
          <w:szCs w:val="24"/>
        </w:rPr>
        <w:t>本团体标准根据中国仪器仪表行业协会</w:t>
      </w:r>
      <w:r w:rsidR="00084765">
        <w:rPr>
          <w:rFonts w:ascii="宋体" w:hAnsi="宋体" w:cs="宋体" w:hint="eastAsia"/>
          <w:b w:val="0"/>
          <w:bCs w:val="0"/>
          <w:kern w:val="2"/>
          <w:sz w:val="24"/>
          <w:szCs w:val="24"/>
        </w:rPr>
        <w:t>《</w:t>
      </w:r>
      <w:r>
        <w:rPr>
          <w:rFonts w:ascii="宋体" w:hAnsi="宋体" w:cs="宋体" w:hint="eastAsia"/>
          <w:b w:val="0"/>
          <w:bCs w:val="0"/>
          <w:kern w:val="2"/>
          <w:sz w:val="24"/>
          <w:szCs w:val="24"/>
        </w:rPr>
        <w:t>关于</w:t>
      </w:r>
      <w:r w:rsidR="00084765">
        <w:rPr>
          <w:rFonts w:ascii="宋体" w:hAnsi="宋体" w:cs="宋体" w:hint="eastAsia"/>
          <w:b w:val="0"/>
          <w:bCs w:val="0"/>
          <w:kern w:val="2"/>
          <w:sz w:val="24"/>
          <w:szCs w:val="24"/>
        </w:rPr>
        <w:t>&lt;</w:t>
      </w:r>
      <w:r>
        <w:rPr>
          <w:rFonts w:ascii="宋体" w:hAnsi="宋体" w:cs="宋体" w:hint="eastAsia"/>
          <w:b w:val="0"/>
          <w:bCs w:val="0"/>
          <w:kern w:val="2"/>
          <w:sz w:val="24"/>
          <w:szCs w:val="24"/>
        </w:rPr>
        <w:t>农排智能终端技术规范</w:t>
      </w:r>
      <w:r w:rsidR="00084765">
        <w:rPr>
          <w:rFonts w:ascii="宋体" w:hAnsi="宋体" w:cs="宋体" w:hint="eastAsia"/>
          <w:b w:val="0"/>
          <w:bCs w:val="0"/>
          <w:kern w:val="2"/>
          <w:sz w:val="24"/>
          <w:szCs w:val="24"/>
        </w:rPr>
        <w:t>&gt;</w:t>
      </w:r>
      <w:r>
        <w:rPr>
          <w:rFonts w:ascii="宋体" w:hAnsi="宋体" w:cs="宋体" w:hint="eastAsia"/>
          <w:b w:val="0"/>
          <w:bCs w:val="0"/>
          <w:kern w:val="2"/>
          <w:sz w:val="24"/>
          <w:szCs w:val="24"/>
        </w:rPr>
        <w:t>等八项团体标准立项的批复》（中仪协 [2021]20号）文件立项，项目名称为《农排智能终端技术规范》，项目编号为T/CIMA 0071.2，由中国仪器仪表行业协会电工仪器仪表分会提出，中国仪器仪表行业协会归口。</w:t>
      </w:r>
    </w:p>
    <w:p w:rsidR="00C60490" w:rsidRDefault="00000000">
      <w:pPr>
        <w:pStyle w:val="20"/>
        <w:rPr>
          <w:rFonts w:ascii="宋体" w:hAnsi="宋体" w:cs="宋体"/>
          <w:sz w:val="28"/>
          <w:szCs w:val="28"/>
        </w:rPr>
      </w:pPr>
      <w:r>
        <w:rPr>
          <w:rFonts w:ascii="宋体" w:hAnsi="宋体" w:cs="宋体" w:hint="eastAsia"/>
          <w:sz w:val="28"/>
          <w:szCs w:val="28"/>
        </w:rPr>
        <w:t>2．主要工作过程</w:t>
      </w:r>
    </w:p>
    <w:p w:rsidR="00C60490" w:rsidRDefault="00000000">
      <w:pPr>
        <w:spacing w:line="360" w:lineRule="auto"/>
        <w:ind w:firstLineChars="200" w:firstLine="482"/>
        <w:rPr>
          <w:rFonts w:ascii="宋体" w:hAnsi="宋体" w:cs="宋体"/>
          <w:b/>
          <w:sz w:val="24"/>
          <w:szCs w:val="24"/>
        </w:rPr>
      </w:pPr>
      <w:r>
        <w:rPr>
          <w:rFonts w:ascii="宋体" w:hAnsi="宋体" w:cs="宋体" w:hint="eastAsia"/>
          <w:b/>
          <w:sz w:val="24"/>
          <w:szCs w:val="24"/>
        </w:rPr>
        <w:t>2021年7月：</w:t>
      </w:r>
      <w:r>
        <w:rPr>
          <w:rFonts w:ascii="宋体" w:hAnsi="宋体" w:cs="宋体" w:hint="eastAsia"/>
          <w:bCs/>
          <w:sz w:val="24"/>
          <w:szCs w:val="24"/>
        </w:rPr>
        <w:t>中国仪器仪表行业协会电工仪器仪表分会申请立项</w:t>
      </w:r>
      <w:r>
        <w:rPr>
          <w:rFonts w:ascii="宋体" w:hAnsi="宋体" w:cs="宋体" w:hint="eastAsia"/>
          <w:b/>
          <w:sz w:val="24"/>
          <w:szCs w:val="24"/>
        </w:rPr>
        <w:t>，并形成标准草案稿。</w:t>
      </w:r>
    </w:p>
    <w:p w:rsidR="00C60490"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2021年8月：</w:t>
      </w:r>
      <w:r>
        <w:rPr>
          <w:rFonts w:ascii="宋体" w:hAnsi="宋体" w:cs="宋体" w:hint="eastAsia"/>
          <w:sz w:val="24"/>
          <w:szCs w:val="24"/>
        </w:rPr>
        <w:t>中国仪器仪表行业协会下达了《关于同意“农排智能终端技术规范”团体标准立项的批复》，由国网河北省电力有限公司营销服务中心牵头，组织</w:t>
      </w:r>
      <w:r>
        <w:rPr>
          <w:rFonts w:ascii="黑体" w:eastAsia="黑体" w:hAnsi="黑体" w:cs="黑体" w:hint="eastAsia"/>
          <w:b/>
          <w:sz w:val="24"/>
          <w:szCs w:val="24"/>
        </w:rPr>
        <w:t>成立标准起草工作组</w:t>
      </w:r>
      <w:r>
        <w:rPr>
          <w:rFonts w:ascii="宋体" w:hAnsi="宋体" w:cs="宋体" w:hint="eastAsia"/>
          <w:sz w:val="24"/>
          <w:szCs w:val="24"/>
        </w:rPr>
        <w:t>。</w:t>
      </w:r>
    </w:p>
    <w:p w:rsidR="00C60490"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2021年9月-2021年10月：</w:t>
      </w:r>
      <w:r>
        <w:rPr>
          <w:rFonts w:ascii="宋体" w:hAnsi="宋体" w:cs="宋体" w:hint="eastAsia"/>
          <w:sz w:val="24"/>
          <w:szCs w:val="24"/>
        </w:rPr>
        <w:t>启动团体标准制定工作。起草组严格按照《国家标准管理办法》、GB/T 1.1—2020《标准化工作导则 第1部分：标准化文件的结构和起草规则编写》等文件的要求进行标准制定并</w:t>
      </w:r>
      <w:r>
        <w:rPr>
          <w:rFonts w:ascii="黑体" w:eastAsia="黑体" w:hAnsi="黑体" w:cs="黑体" w:hint="eastAsia"/>
          <w:b/>
          <w:sz w:val="24"/>
          <w:szCs w:val="24"/>
        </w:rPr>
        <w:t>形成了工作组讨论稿</w:t>
      </w:r>
      <w:r>
        <w:rPr>
          <w:rFonts w:ascii="宋体" w:hAnsi="宋体" w:cs="宋体" w:hint="eastAsia"/>
          <w:sz w:val="24"/>
          <w:szCs w:val="24"/>
        </w:rPr>
        <w:t>。</w:t>
      </w:r>
    </w:p>
    <w:p w:rsidR="00C60490" w:rsidRDefault="00000000">
      <w:pPr>
        <w:spacing w:line="360" w:lineRule="auto"/>
        <w:ind w:firstLineChars="196" w:firstLine="472"/>
        <w:rPr>
          <w:rFonts w:ascii="宋体" w:hAnsi="宋体" w:cs="宋体"/>
          <w:sz w:val="24"/>
          <w:szCs w:val="24"/>
        </w:rPr>
      </w:pPr>
      <w:bookmarkStart w:id="0" w:name="_Hlk17657671"/>
      <w:r>
        <w:rPr>
          <w:rFonts w:ascii="宋体" w:hAnsi="宋体" w:cs="宋体" w:hint="eastAsia"/>
          <w:b/>
          <w:sz w:val="24"/>
          <w:szCs w:val="24"/>
        </w:rPr>
        <w:t>2022年3月-4月</w:t>
      </w:r>
      <w:bookmarkEnd w:id="0"/>
      <w:r>
        <w:rPr>
          <w:rFonts w:ascii="宋体" w:hAnsi="宋体" w:cs="宋体" w:hint="eastAsia"/>
          <w:sz w:val="24"/>
          <w:szCs w:val="24"/>
        </w:rPr>
        <w:t>：工作组讨论稿在标准编制工作组内部第一次征求意见，共回收意见18条，主笔单位按照回收意见对</w:t>
      </w:r>
      <w:r>
        <w:rPr>
          <w:rFonts w:ascii="宋体" w:hAnsi="宋体" w:cs="宋体" w:hint="eastAsia"/>
          <w:b/>
          <w:bCs/>
          <w:sz w:val="24"/>
          <w:szCs w:val="24"/>
        </w:rPr>
        <w:t>工作组讨论稿</w:t>
      </w:r>
      <w:r>
        <w:rPr>
          <w:rFonts w:ascii="宋体" w:hAnsi="宋体" w:cs="宋体" w:hint="eastAsia"/>
          <w:sz w:val="24"/>
          <w:szCs w:val="24"/>
        </w:rPr>
        <w:t>进行了修改完善。</w:t>
      </w:r>
    </w:p>
    <w:p w:rsidR="00C60490" w:rsidRDefault="00000000">
      <w:pPr>
        <w:spacing w:line="360" w:lineRule="auto"/>
        <w:ind w:firstLineChars="196" w:firstLine="472"/>
        <w:rPr>
          <w:rFonts w:ascii="宋体" w:hAnsi="宋体" w:cs="宋体"/>
          <w:sz w:val="24"/>
          <w:szCs w:val="24"/>
        </w:rPr>
      </w:pPr>
      <w:r>
        <w:rPr>
          <w:rFonts w:ascii="宋体" w:hAnsi="宋体" w:cs="宋体" w:hint="eastAsia"/>
          <w:b/>
          <w:sz w:val="24"/>
          <w:szCs w:val="24"/>
        </w:rPr>
        <w:t>2022年4月28日：</w:t>
      </w:r>
      <w:r>
        <w:rPr>
          <w:rFonts w:ascii="宋体" w:hAnsi="宋体" w:cs="宋体" w:hint="eastAsia"/>
          <w:sz w:val="24"/>
          <w:szCs w:val="24"/>
        </w:rPr>
        <w:t>以视频会议的形式召开起草第一次工作组会议，工作组对工作组讨论稿的标准化对象、结构进行了认真、细致的逐条讨论，并对主要技术内容达成了一致意见，分配标准符合性验证工作，并对试验项目进行分工，形成会议纪要。</w:t>
      </w:r>
    </w:p>
    <w:p w:rsidR="00C60490" w:rsidRDefault="00000000">
      <w:pPr>
        <w:spacing w:line="360" w:lineRule="auto"/>
        <w:ind w:firstLineChars="200" w:firstLine="482"/>
        <w:rPr>
          <w:rFonts w:ascii="宋体" w:hAnsi="宋体" w:cs="宋体"/>
          <w:sz w:val="24"/>
          <w:szCs w:val="24"/>
        </w:rPr>
      </w:pPr>
      <w:r>
        <w:rPr>
          <w:rFonts w:ascii="宋体" w:hAnsi="宋体" w:cs="宋体" w:hint="eastAsia"/>
          <w:b/>
          <w:bCs/>
          <w:sz w:val="24"/>
          <w:szCs w:val="24"/>
        </w:rPr>
        <w:t>2022年5月-2022年6月：工作组讨论稿</w:t>
      </w:r>
      <w:r>
        <w:rPr>
          <w:rFonts w:ascii="宋体" w:hAnsi="宋体" w:cs="宋体" w:hint="eastAsia"/>
          <w:sz w:val="24"/>
          <w:szCs w:val="24"/>
        </w:rPr>
        <w:t>在标准编制工作组内部第二次征求意见，共回收意见15条，主笔单位按照回收意见对工作组讨论稿进行了修改完善。</w:t>
      </w:r>
    </w:p>
    <w:p w:rsidR="00C60490" w:rsidRDefault="00000000">
      <w:pPr>
        <w:spacing w:line="360" w:lineRule="auto"/>
        <w:ind w:firstLineChars="196" w:firstLine="472"/>
        <w:rPr>
          <w:rFonts w:ascii="宋体" w:hAnsi="宋体" w:cs="宋体"/>
          <w:sz w:val="24"/>
          <w:szCs w:val="24"/>
        </w:rPr>
      </w:pPr>
      <w:r>
        <w:rPr>
          <w:rFonts w:ascii="宋体" w:hAnsi="宋体" w:cs="宋体" w:hint="eastAsia"/>
          <w:b/>
          <w:bCs/>
          <w:sz w:val="24"/>
          <w:szCs w:val="24"/>
        </w:rPr>
        <w:t>2022年7月2日：</w:t>
      </w:r>
      <w:r>
        <w:rPr>
          <w:rFonts w:ascii="宋体" w:hAnsi="宋体" w:cs="宋体" w:hint="eastAsia"/>
          <w:sz w:val="24"/>
          <w:szCs w:val="24"/>
        </w:rPr>
        <w:t>在成都都江堰召开起草工作组第二次会议，对标准工作组讨论稿以及所征求的意见内容进行了仔细讨论，形成会议纪要。</w:t>
      </w:r>
    </w:p>
    <w:p w:rsidR="00C60490" w:rsidRDefault="00000000">
      <w:pPr>
        <w:spacing w:line="360" w:lineRule="auto"/>
        <w:ind w:firstLineChars="196" w:firstLine="472"/>
        <w:rPr>
          <w:rFonts w:ascii="宋体" w:hAnsi="宋体" w:cs="宋体"/>
          <w:sz w:val="24"/>
          <w:szCs w:val="24"/>
        </w:rPr>
      </w:pPr>
      <w:r>
        <w:rPr>
          <w:rFonts w:ascii="宋体" w:hAnsi="宋体" w:cs="宋体" w:hint="eastAsia"/>
          <w:b/>
          <w:bCs/>
          <w:sz w:val="24"/>
          <w:szCs w:val="24"/>
        </w:rPr>
        <w:lastRenderedPageBreak/>
        <w:t>2022年8月-12月：</w:t>
      </w:r>
      <w:r>
        <w:rPr>
          <w:rFonts w:ascii="宋体" w:hAnsi="宋体" w:cs="宋体" w:hint="eastAsia"/>
          <w:sz w:val="24"/>
          <w:szCs w:val="24"/>
        </w:rPr>
        <w:t>工作组讨论稿在标准编制工作组内部第三次征求意见，共回收意见8条，主笔单位按照回收意见对工作组讨论稿进行了修改完善。会后</w:t>
      </w:r>
      <w:r>
        <w:rPr>
          <w:rFonts w:ascii="黑体" w:eastAsia="黑体" w:hAnsi="黑体" w:cs="黑体" w:hint="eastAsia"/>
          <w:b/>
          <w:sz w:val="24"/>
          <w:szCs w:val="24"/>
        </w:rPr>
        <w:t>形成征求意见稿</w:t>
      </w:r>
      <w:r>
        <w:rPr>
          <w:rFonts w:ascii="宋体" w:hAnsi="宋体" w:cs="宋体" w:hint="eastAsia"/>
          <w:sz w:val="24"/>
          <w:szCs w:val="24"/>
        </w:rPr>
        <w:t>。</w:t>
      </w:r>
    </w:p>
    <w:p w:rsidR="00C60490" w:rsidRDefault="00000000">
      <w:pPr>
        <w:spacing w:line="360" w:lineRule="auto"/>
        <w:ind w:firstLineChars="196" w:firstLine="472"/>
        <w:rPr>
          <w:rFonts w:ascii="宋体" w:hAnsi="宋体" w:cs="宋体"/>
          <w:sz w:val="24"/>
          <w:szCs w:val="24"/>
        </w:rPr>
      </w:pPr>
      <w:r>
        <w:rPr>
          <w:rFonts w:ascii="宋体" w:hAnsi="宋体" w:cs="宋体" w:hint="eastAsia"/>
          <w:b/>
          <w:sz w:val="24"/>
          <w:szCs w:val="24"/>
        </w:rPr>
        <w:t>2022年2月10日，</w:t>
      </w:r>
      <w:r>
        <w:rPr>
          <w:rFonts w:ascii="宋体" w:hAnsi="宋体" w:cs="宋体" w:hint="eastAsia"/>
          <w:b/>
          <w:bCs/>
          <w:sz w:val="24"/>
          <w:szCs w:val="24"/>
        </w:rPr>
        <w:t>广泛征求意见</w:t>
      </w:r>
      <w:r>
        <w:rPr>
          <w:rFonts w:ascii="宋体" w:hAnsi="宋体" w:cs="宋体" w:hint="eastAsia"/>
          <w:bCs/>
          <w:sz w:val="24"/>
          <w:szCs w:val="24"/>
        </w:rPr>
        <w:t>，</w:t>
      </w:r>
      <w:r>
        <w:rPr>
          <w:rFonts w:ascii="宋体" w:hAnsi="宋体" w:cs="宋体" w:hint="eastAsia"/>
          <w:sz w:val="24"/>
          <w:szCs w:val="24"/>
        </w:rPr>
        <w:t>征求意见稿在网站、微信公众号等平台公示，征集行业意见。</w:t>
      </w:r>
    </w:p>
    <w:p w:rsidR="00C60490" w:rsidRDefault="00000000">
      <w:pPr>
        <w:pStyle w:val="20"/>
        <w:rPr>
          <w:rFonts w:ascii="宋体" w:hAnsi="宋体" w:cs="宋体"/>
          <w:sz w:val="28"/>
          <w:szCs w:val="28"/>
          <w:lang w:val="zh-CN"/>
        </w:rPr>
      </w:pPr>
      <w:r>
        <w:rPr>
          <w:rFonts w:ascii="宋体" w:hAnsi="宋体" w:cs="宋体" w:hint="eastAsia"/>
          <w:sz w:val="28"/>
          <w:szCs w:val="28"/>
        </w:rPr>
        <w:t>3．</w:t>
      </w:r>
      <w:r>
        <w:rPr>
          <w:rFonts w:ascii="宋体" w:hAnsi="宋体" w:cs="宋体" w:hint="eastAsia"/>
          <w:sz w:val="28"/>
          <w:szCs w:val="28"/>
          <w:lang w:val="zh-CN"/>
        </w:rPr>
        <w:t>主要参加单位和工作组成员及其所做的工作</w:t>
      </w:r>
    </w:p>
    <w:p w:rsidR="00C60490" w:rsidRDefault="00000000">
      <w:pPr>
        <w:spacing w:line="360" w:lineRule="auto"/>
        <w:ind w:firstLineChars="200" w:firstLine="480"/>
        <w:rPr>
          <w:rFonts w:ascii="Times New Roman" w:hAnsi="Times New Roman"/>
          <w:sz w:val="24"/>
          <w:szCs w:val="24"/>
        </w:rPr>
      </w:pPr>
      <w:r>
        <w:rPr>
          <w:rFonts w:ascii="Times New Roman" w:hAnsi="Times New Roman"/>
          <w:sz w:val="24"/>
          <w:szCs w:val="24"/>
        </w:rPr>
        <w:t>工作组组长和牵头起草单位是</w:t>
      </w:r>
      <w:r>
        <w:rPr>
          <w:rFonts w:ascii="Times New Roman" w:hAnsi="Times New Roman" w:hint="eastAsia"/>
          <w:sz w:val="24"/>
          <w:szCs w:val="24"/>
        </w:rPr>
        <w:t>国网河北省电力有限公司营销服务中心（计量中心）</w:t>
      </w:r>
      <w:r>
        <w:rPr>
          <w:rFonts w:ascii="Times New Roman" w:hAnsi="Times New Roman"/>
          <w:sz w:val="24"/>
          <w:szCs w:val="24"/>
        </w:rPr>
        <w:t>，主要起草单位有</w:t>
      </w:r>
      <w:r>
        <w:rPr>
          <w:rFonts w:ascii="Times New Roman" w:hAnsi="Times New Roman" w:hint="eastAsia"/>
          <w:sz w:val="24"/>
          <w:szCs w:val="24"/>
        </w:rPr>
        <w:t>哈尔滨电工仪表研究所有限公司、云南电网有限责任公司计量中心、烟台东方威思顿电气有限公司、浙江万胜智能科技股份有限公司、威胜信息技术股份有限公司、成都长城开发科技股份有限公司、江苏苏源杰瑞科技有限公司、深圳市科陆电子科技股份有限公司。</w:t>
      </w:r>
    </w:p>
    <w:p w:rsidR="00C60490"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w:t>
      </w:r>
      <w:r>
        <w:rPr>
          <w:rFonts w:ascii="Times New Roman" w:hAnsi="Times New Roman"/>
          <w:sz w:val="24"/>
          <w:szCs w:val="24"/>
        </w:rPr>
        <w:t>主要起草人：</w:t>
      </w:r>
      <w:r>
        <w:rPr>
          <w:rFonts w:ascii="Times New Roman" w:hAnsi="Times New Roman" w:hint="eastAsia"/>
          <w:sz w:val="24"/>
          <w:szCs w:val="24"/>
        </w:rPr>
        <w:t>王鸿玺、高波、杨光润、魏灵坤、韩伟健、吴嵬、王毅、陆睦、闫垚锋</w:t>
      </w:r>
      <w:r>
        <w:rPr>
          <w:sz w:val="24"/>
          <w:szCs w:val="24"/>
        </w:rPr>
        <w:t>。</w:t>
      </w:r>
    </w:p>
    <w:p w:rsidR="00C60490" w:rsidRDefault="00000000">
      <w:pPr>
        <w:spacing w:line="360" w:lineRule="auto"/>
        <w:ind w:firstLineChars="200" w:firstLine="480"/>
        <w:rPr>
          <w:rFonts w:ascii="Times New Roman" w:hAnsi="Times New Roman"/>
          <w:sz w:val="24"/>
          <w:szCs w:val="24"/>
        </w:rPr>
      </w:pPr>
      <w:r>
        <w:rPr>
          <w:rFonts w:ascii="宋体" w:hAnsi="宋体" w:cs="宋体" w:hint="eastAsia"/>
          <w:sz w:val="24"/>
          <w:szCs w:val="24"/>
        </w:rPr>
        <w:t>国网河北省电力有限公司营销服务中心（计量中心）</w:t>
      </w:r>
      <w:r>
        <w:rPr>
          <w:rFonts w:ascii="宋体" w:hAnsi="宋体" w:cs="宋体"/>
          <w:sz w:val="24"/>
          <w:szCs w:val="24"/>
        </w:rPr>
        <w:t>作为执笔单位负责了</w:t>
      </w:r>
      <w:r>
        <w:rPr>
          <w:rFonts w:ascii="宋体" w:hAnsi="宋体" w:cs="宋体" w:hint="eastAsia"/>
          <w:sz w:val="24"/>
          <w:szCs w:val="24"/>
        </w:rPr>
        <w:t>本文件</w:t>
      </w:r>
      <w:r>
        <w:rPr>
          <w:rFonts w:ascii="宋体" w:hAnsi="宋体" w:cs="宋体"/>
          <w:sz w:val="24"/>
          <w:szCs w:val="24"/>
        </w:rPr>
        <w:t>的工作组讨论稿和征求意见稿的起草、修改工作</w:t>
      </w:r>
      <w:r>
        <w:rPr>
          <w:rFonts w:ascii="Times New Roman" w:hAnsi="Times New Roman"/>
          <w:sz w:val="24"/>
          <w:szCs w:val="24"/>
        </w:rPr>
        <w:t>。</w:t>
      </w:r>
    </w:p>
    <w:p w:rsidR="00C60490" w:rsidRDefault="00000000">
      <w:pPr>
        <w:spacing w:line="360" w:lineRule="auto"/>
        <w:ind w:firstLineChars="200" w:firstLine="480"/>
        <w:rPr>
          <w:sz w:val="24"/>
          <w:szCs w:val="24"/>
        </w:rPr>
      </w:pPr>
      <w:r>
        <w:rPr>
          <w:rFonts w:ascii="Times New Roman" w:hAnsi="Times New Roman" w:hint="eastAsia"/>
          <w:sz w:val="24"/>
          <w:szCs w:val="24"/>
        </w:rPr>
        <w:t>王鸿玺、高波为本文件的主笔人，负责标准的编写，章登清为本文件起草工作组的组长，刘献成、何珊等为本文件起草工作组的组员，负责标准的编写进程和组织协调工作；杨光润、魏灵坤等工作组成员为本文件的编写和修改工作给与大量帮助。</w:t>
      </w:r>
    </w:p>
    <w:p w:rsidR="00C60490" w:rsidRDefault="00000000">
      <w:pPr>
        <w:pStyle w:val="20"/>
        <w:rPr>
          <w:rFonts w:ascii="宋体" w:hAnsi="宋体" w:cs="宋体"/>
          <w:sz w:val="28"/>
          <w:szCs w:val="28"/>
        </w:rPr>
      </w:pPr>
      <w:r>
        <w:rPr>
          <w:rFonts w:ascii="宋体" w:hAnsi="宋体" w:cs="宋体" w:hint="eastAsia"/>
          <w:sz w:val="28"/>
          <w:szCs w:val="28"/>
        </w:rPr>
        <w:t>二、  标准编制原则和主要技术内容确定的依据</w:t>
      </w:r>
    </w:p>
    <w:p w:rsidR="00C60490" w:rsidRDefault="00000000">
      <w:pPr>
        <w:pStyle w:val="20"/>
        <w:rPr>
          <w:rFonts w:ascii="宋体" w:hAnsi="宋体" w:cs="宋体"/>
          <w:sz w:val="28"/>
          <w:szCs w:val="28"/>
        </w:rPr>
      </w:pPr>
      <w:r>
        <w:rPr>
          <w:rFonts w:ascii="宋体" w:hAnsi="宋体" w:cs="宋体" w:hint="eastAsia"/>
          <w:sz w:val="28"/>
          <w:szCs w:val="28"/>
        </w:rPr>
        <w:t>1．主要阐述标准制定或修订过程遵循的基本原则</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本文件按GB/T 1.1-2020《标准化工作导则 第1部分：标准化文件的结构和起草规则编写》的要求编写。充分借鉴和吸收《电力系统农排费控采集系统》系列规范的规定进行编写和表述，主要在农排智能终端管理模组、计量模组提出功能要求，并给出了相应的验证方法。</w:t>
      </w:r>
    </w:p>
    <w:p w:rsidR="00C60490" w:rsidRDefault="00000000">
      <w:pPr>
        <w:pStyle w:val="20"/>
        <w:rPr>
          <w:rFonts w:ascii="宋体" w:hAnsi="宋体" w:cs="宋体"/>
          <w:sz w:val="28"/>
          <w:szCs w:val="28"/>
        </w:rPr>
      </w:pPr>
      <w:r>
        <w:rPr>
          <w:rFonts w:ascii="宋体" w:hAnsi="宋体" w:cs="宋体" w:hint="eastAsia"/>
          <w:sz w:val="28"/>
          <w:szCs w:val="28"/>
        </w:rPr>
        <w:lastRenderedPageBreak/>
        <w:t>2．标准主要内容中范围、功能要求、试验方法、检验规则依据</w:t>
      </w:r>
    </w:p>
    <w:p w:rsidR="00C60490" w:rsidRDefault="00000000">
      <w:pPr>
        <w:pStyle w:val="20"/>
        <w:rPr>
          <w:rFonts w:ascii="宋体" w:hAnsi="宋体" w:cs="宋体"/>
          <w:sz w:val="28"/>
          <w:szCs w:val="28"/>
        </w:rPr>
      </w:pPr>
      <w:r>
        <w:rPr>
          <w:rFonts w:ascii="宋体" w:hAnsi="宋体" w:cs="宋体" w:hint="eastAsia"/>
          <w:sz w:val="28"/>
          <w:szCs w:val="28"/>
        </w:rPr>
        <w:t>2.1  范围</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本文件规定了农排智能终端（以下简称“终端”）的术语和定义、功能要求、试验方法和检验规则。</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本文件适用于农排智能终端的设计、制造、采购及验收。</w:t>
      </w:r>
    </w:p>
    <w:p w:rsidR="00C60490" w:rsidRDefault="00000000">
      <w:pPr>
        <w:pStyle w:val="20"/>
        <w:rPr>
          <w:rFonts w:ascii="宋体" w:hAnsi="宋体" w:cs="宋体"/>
          <w:sz w:val="28"/>
          <w:szCs w:val="28"/>
        </w:rPr>
      </w:pPr>
      <w:r>
        <w:rPr>
          <w:rFonts w:ascii="宋体" w:hAnsi="宋体" w:cs="宋体" w:hint="eastAsia"/>
          <w:sz w:val="28"/>
          <w:szCs w:val="28"/>
        </w:rPr>
        <w:t>2.2　终端功能要求</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农排智能终端的功能要求除了包括电能计量功能、时钟功能、费率时段、测量与监测、数据冻结、事件记录、显示功能、通讯功能（蓝牙通讯、载波通讯、4G模块通讯等） ，还结合农排灌溉的特色业务需求增加了农排应用新功能，如分户精准灌溉计量、水电折算等功能。</w:t>
      </w:r>
    </w:p>
    <w:p w:rsidR="00C60490" w:rsidRDefault="00000000">
      <w:pPr>
        <w:pStyle w:val="20"/>
        <w:rPr>
          <w:rFonts w:ascii="宋体" w:hAnsi="宋体" w:cs="宋体"/>
          <w:sz w:val="24"/>
          <w:szCs w:val="24"/>
        </w:rPr>
      </w:pPr>
      <w:r>
        <w:rPr>
          <w:rFonts w:ascii="宋体" w:hAnsi="宋体" w:cs="宋体" w:hint="eastAsia"/>
          <w:sz w:val="24"/>
          <w:szCs w:val="24"/>
        </w:rPr>
        <w:t>2.2.1 计量功能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文件规定了终端的基本计量项要求、合相及分相电能量小数位存储及传输要求。</w:t>
      </w:r>
    </w:p>
    <w:p w:rsidR="00C60490" w:rsidRDefault="00000000">
      <w:pPr>
        <w:pStyle w:val="20"/>
        <w:rPr>
          <w:rFonts w:ascii="宋体" w:hAnsi="宋体" w:cs="宋体"/>
          <w:sz w:val="24"/>
          <w:szCs w:val="24"/>
        </w:rPr>
      </w:pPr>
      <w:r>
        <w:rPr>
          <w:rFonts w:ascii="宋体" w:hAnsi="宋体" w:cs="宋体" w:hint="eastAsia"/>
          <w:sz w:val="24"/>
          <w:szCs w:val="24"/>
        </w:rPr>
        <w:t>2.2.2时钟功能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文件规定了终端内置硬件时钟电路要求，内部时钟输出频率为1Hz。终端应支持普通校时和广播校时，在上电时能检测时钟异常，并支持时钟重写。终端计量模组与管理模组应具备时钟同步功能及对时机制。</w:t>
      </w:r>
    </w:p>
    <w:p w:rsidR="00C60490" w:rsidRDefault="00000000">
      <w:pPr>
        <w:pStyle w:val="20"/>
        <w:rPr>
          <w:rFonts w:ascii="宋体" w:hAnsi="宋体" w:cs="宋体"/>
          <w:sz w:val="24"/>
          <w:szCs w:val="24"/>
        </w:rPr>
      </w:pPr>
      <w:r>
        <w:rPr>
          <w:rFonts w:ascii="宋体" w:hAnsi="宋体" w:cs="宋体" w:hint="eastAsia"/>
          <w:sz w:val="24"/>
          <w:szCs w:val="24"/>
        </w:rPr>
        <w:t>2.2.3费率时段</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应支持通过费率数开启或关闭费率时段功能，最多可支持12个费率，应具有当前套、备用套两套费率和时段，每套费率时段全年至少可设置2个时区，应支持公共假日和周休日特殊费率时段的设置，应具备分类存储备份功能。</w:t>
      </w:r>
    </w:p>
    <w:p w:rsidR="00C60490" w:rsidRDefault="00000000">
      <w:pPr>
        <w:pStyle w:val="20"/>
        <w:rPr>
          <w:rFonts w:ascii="宋体" w:hAnsi="宋体" w:cs="宋体"/>
          <w:sz w:val="24"/>
          <w:szCs w:val="24"/>
        </w:rPr>
      </w:pPr>
      <w:r>
        <w:rPr>
          <w:rFonts w:ascii="宋体" w:hAnsi="宋体" w:cs="宋体" w:hint="eastAsia"/>
          <w:sz w:val="24"/>
          <w:szCs w:val="24"/>
        </w:rPr>
        <w:lastRenderedPageBreak/>
        <w:t>2.2.4测量与监测</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文件规定了终端应能测量总及各分相有功功率、无功功率、功率因数、分相电压、分相（含零线）电流、频率等运行参数，并规定了相应的测量范围。</w:t>
      </w:r>
    </w:p>
    <w:p w:rsidR="00C60490" w:rsidRDefault="00000000">
      <w:pPr>
        <w:pStyle w:val="20"/>
        <w:rPr>
          <w:rFonts w:ascii="宋体" w:hAnsi="宋体" w:cs="宋体"/>
          <w:sz w:val="24"/>
          <w:szCs w:val="24"/>
        </w:rPr>
      </w:pPr>
      <w:r>
        <w:rPr>
          <w:rFonts w:ascii="宋体" w:hAnsi="宋体" w:cs="宋体" w:hint="eastAsia"/>
          <w:sz w:val="24"/>
          <w:szCs w:val="24"/>
        </w:rPr>
        <w:t>2.2.5数据冻结</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内计量模组的分钟冻结要求及管理模组对于瞬时冻结、分钟冻结、整点冻结、日冻结、月冻结、切换冻结、结算日冻结等冻结功能具体要求。同时明确了管理模组的冻结数据项应与计量模组相同时刻同一冻结数据项保持一致；在终端电源断电的情况下，所有与结算相关的数据应至少保存16年，其它数据至少保存3年。</w:t>
      </w:r>
    </w:p>
    <w:p w:rsidR="00C60490" w:rsidRDefault="00000000">
      <w:pPr>
        <w:pStyle w:val="20"/>
        <w:rPr>
          <w:rFonts w:ascii="宋体" w:hAnsi="宋体" w:cs="宋体"/>
          <w:sz w:val="24"/>
          <w:szCs w:val="24"/>
        </w:rPr>
      </w:pPr>
      <w:r>
        <w:rPr>
          <w:rFonts w:ascii="宋体" w:hAnsi="宋体" w:cs="宋体" w:hint="eastAsia"/>
          <w:sz w:val="24"/>
          <w:szCs w:val="24"/>
        </w:rPr>
        <w:t>2.2.6事件记录</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内计量模组及管理模组的事件记录功能要求，其中，计量模组事件记录功能对普通校时、广播校时、管理模组插拔及升级、开端钮盖、开表盖、掉电、清零提出了明确要求；管理模组事件记录功能对各相失压、欠压、过压、断相、电压（流）逆相序等异常事件提出了明确记录时刻及次数要求，同时对主动上报事件做了要求。</w:t>
      </w:r>
    </w:p>
    <w:p w:rsidR="00C60490" w:rsidRDefault="00000000">
      <w:pPr>
        <w:pStyle w:val="20"/>
        <w:rPr>
          <w:rFonts w:ascii="宋体" w:hAnsi="宋体" w:cs="宋体"/>
          <w:sz w:val="24"/>
          <w:szCs w:val="24"/>
        </w:rPr>
      </w:pPr>
      <w:r>
        <w:rPr>
          <w:rFonts w:ascii="宋体" w:hAnsi="宋体" w:cs="宋体" w:hint="eastAsia"/>
          <w:sz w:val="24"/>
          <w:szCs w:val="24"/>
        </w:rPr>
        <w:t>2.2.7显示功能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文件规定了终端LCD启动及关闭背光要求，终端显示内容分为数值、代码、符号、图形四种，应具备自动循环、按键和插屏三种显示方式，应能显示当前通信状态指示符。</w:t>
      </w:r>
    </w:p>
    <w:p w:rsidR="00C60490" w:rsidRDefault="00000000">
      <w:pPr>
        <w:pStyle w:val="20"/>
        <w:rPr>
          <w:rFonts w:ascii="宋体" w:hAnsi="宋体" w:cs="宋体"/>
          <w:sz w:val="24"/>
          <w:szCs w:val="24"/>
        </w:rPr>
      </w:pPr>
      <w:r>
        <w:rPr>
          <w:rFonts w:ascii="宋体" w:hAnsi="宋体" w:cs="宋体" w:hint="eastAsia"/>
          <w:sz w:val="24"/>
          <w:szCs w:val="24"/>
        </w:rPr>
        <w:t>2.2.8通讯功能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计量模组与管理模组通信功能要求，其中计量模组应满足与管理模组同步通信、与管理模组同步通信异步通信及与计算类模组通信的相关要求；管理模组应满足双模组间通信要求，管理模组的时钟、电能量等数据来源于计量模组，并与计量模组同步。同时管理模组应满足蓝牙通信功能，应承担终端</w:t>
      </w:r>
      <w:r>
        <w:rPr>
          <w:rFonts w:ascii="宋体" w:hAnsi="宋体" w:cs="宋体" w:hint="eastAsia"/>
          <w:sz w:val="24"/>
          <w:szCs w:val="24"/>
        </w:rPr>
        <w:lastRenderedPageBreak/>
        <w:t>对外通信，同时也将主站对计量模组、扩展模组的通信转发给相应的模组；相应的模组应答后，再由管理模组转发给主站。</w:t>
      </w:r>
    </w:p>
    <w:p w:rsidR="00C60490" w:rsidRDefault="00000000">
      <w:pPr>
        <w:pStyle w:val="20"/>
        <w:rPr>
          <w:rFonts w:ascii="宋体" w:hAnsi="宋体" w:cs="宋体"/>
          <w:sz w:val="24"/>
          <w:szCs w:val="24"/>
        </w:rPr>
      </w:pPr>
      <w:r>
        <w:rPr>
          <w:rFonts w:ascii="宋体" w:hAnsi="宋体" w:cs="宋体" w:hint="eastAsia"/>
          <w:sz w:val="24"/>
          <w:szCs w:val="24"/>
        </w:rPr>
        <w:t>2.2.9精准灌溉控制功能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终端应支持主站下发开始用电命令（包括用户编号、用电量），终端收到命令后自动合闸用电；用电结束后主站下发结束用电命令，终端进行拉闸结束用电，返回剩余电量信息；终端支持针对特征类型的负荷用电进行控制，如对灌溉用电进行单独控制。</w:t>
      </w:r>
    </w:p>
    <w:p w:rsidR="00C60490" w:rsidRDefault="00000000">
      <w:pPr>
        <w:pStyle w:val="20"/>
        <w:rPr>
          <w:rFonts w:ascii="宋体" w:hAnsi="宋体" w:cs="宋体"/>
          <w:sz w:val="24"/>
          <w:szCs w:val="24"/>
        </w:rPr>
      </w:pPr>
      <w:r>
        <w:rPr>
          <w:rFonts w:ascii="宋体" w:hAnsi="宋体" w:cs="宋体" w:hint="eastAsia"/>
          <w:sz w:val="24"/>
          <w:szCs w:val="24"/>
        </w:rPr>
        <w:t>2.2.10软件功能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文件规定了管理模组的软件通用要求，软件比对功能及在线升级功能要求。</w:t>
      </w:r>
    </w:p>
    <w:p w:rsidR="00C60490" w:rsidRDefault="00000000">
      <w:pPr>
        <w:pStyle w:val="20"/>
        <w:rPr>
          <w:rFonts w:ascii="宋体" w:hAnsi="宋体" w:cs="宋体"/>
          <w:sz w:val="28"/>
          <w:szCs w:val="28"/>
        </w:rPr>
      </w:pPr>
      <w:r>
        <w:rPr>
          <w:rFonts w:ascii="宋体" w:hAnsi="宋体" w:cs="宋体" w:hint="eastAsia"/>
          <w:sz w:val="28"/>
          <w:szCs w:val="28"/>
        </w:rPr>
        <w:t>2.3　试验方法</w:t>
      </w:r>
    </w:p>
    <w:p w:rsidR="00C60490" w:rsidRDefault="00000000">
      <w:pPr>
        <w:pStyle w:val="20"/>
        <w:rPr>
          <w:rFonts w:ascii="宋体" w:hAnsi="宋体" w:cs="宋体"/>
          <w:sz w:val="24"/>
          <w:szCs w:val="24"/>
        </w:rPr>
      </w:pPr>
      <w:r>
        <w:rPr>
          <w:rFonts w:ascii="宋体" w:hAnsi="宋体" w:cs="宋体" w:hint="eastAsia"/>
          <w:sz w:val="24"/>
          <w:szCs w:val="24"/>
        </w:rPr>
        <w:t>2.3.1 计量功能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计量模组在参比条件下完成走字试验，并抄读相应电能量参数项，检验计量模组能否正确计量。</w:t>
      </w:r>
    </w:p>
    <w:p w:rsidR="00C60490" w:rsidRDefault="00000000">
      <w:pPr>
        <w:pStyle w:val="20"/>
        <w:rPr>
          <w:rFonts w:ascii="宋体" w:hAnsi="宋体" w:cs="宋体"/>
          <w:sz w:val="24"/>
          <w:szCs w:val="24"/>
        </w:rPr>
      </w:pPr>
      <w:r>
        <w:rPr>
          <w:rFonts w:ascii="宋体" w:hAnsi="宋体" w:cs="宋体" w:hint="eastAsia"/>
          <w:sz w:val="24"/>
          <w:szCs w:val="24"/>
        </w:rPr>
        <w:t>2.3.2时钟功能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通过通信接口设置终端日期和时间，运行一段时间后，判断仪表时间是否正确；设置多个日历、闰年切换时间，判断仪表是否实现日历、闰年自动切换；进行终端时钟与标准时间对时，终端断电一段时间，读取终端内当前日期和当前时间，判断是否准确。</w:t>
      </w:r>
    </w:p>
    <w:p w:rsidR="00C60490" w:rsidRDefault="00000000">
      <w:pPr>
        <w:pStyle w:val="20"/>
        <w:rPr>
          <w:rFonts w:ascii="宋体" w:hAnsi="宋体" w:cs="宋体"/>
          <w:sz w:val="24"/>
          <w:szCs w:val="24"/>
        </w:rPr>
      </w:pPr>
      <w:r>
        <w:rPr>
          <w:rFonts w:ascii="宋体" w:hAnsi="宋体" w:cs="宋体" w:hint="eastAsia"/>
          <w:sz w:val="24"/>
          <w:szCs w:val="24"/>
        </w:rPr>
        <w:t>2.3.3费率时段</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费率和时段设置功能：设置仪表费率、时段、时区、费率和时段切换时间、特殊费率时段等参数进行时段跨零点设置、费率时段切换、特殊费率时段切换等测试判断费率和时段设置是否满足要求。</w:t>
      </w:r>
    </w:p>
    <w:p w:rsidR="00C60490" w:rsidRDefault="00000000">
      <w:pPr>
        <w:pStyle w:val="20"/>
        <w:rPr>
          <w:rFonts w:ascii="宋体" w:hAnsi="宋体" w:cs="宋体"/>
          <w:sz w:val="24"/>
          <w:szCs w:val="24"/>
        </w:rPr>
      </w:pPr>
      <w:r>
        <w:rPr>
          <w:rFonts w:ascii="宋体" w:hAnsi="宋体" w:cs="宋体" w:hint="eastAsia"/>
          <w:sz w:val="24"/>
          <w:szCs w:val="24"/>
        </w:rPr>
        <w:lastRenderedPageBreak/>
        <w:t>2.3.4测量与监测</w:t>
      </w:r>
    </w:p>
    <w:p w:rsidR="00C60490" w:rsidRDefault="00000000">
      <w:pPr>
        <w:spacing w:line="360" w:lineRule="auto"/>
        <w:ind w:firstLineChars="200" w:firstLine="480"/>
        <w:rPr>
          <w:rFonts w:ascii="宋体" w:hAnsi="宋体" w:cs="宋体"/>
          <w:szCs w:val="21"/>
        </w:rPr>
      </w:pPr>
      <w:r>
        <w:rPr>
          <w:rFonts w:ascii="宋体" w:hAnsi="宋体" w:cs="宋体" w:hint="eastAsia"/>
          <w:sz w:val="24"/>
          <w:szCs w:val="24"/>
        </w:rPr>
        <w:t>试验过程中依次对终端计量模组施加相应的电压、电流、功率因数，通过通讯方式采集电压、电流、功率计功率因数测量数据，与功能要求进行核对，判断终端的测量准确度是否满足误差限要求。</w:t>
      </w:r>
    </w:p>
    <w:p w:rsidR="00C60490" w:rsidRDefault="00000000">
      <w:pPr>
        <w:pStyle w:val="20"/>
        <w:rPr>
          <w:rFonts w:ascii="宋体" w:hAnsi="宋体" w:cs="宋体"/>
          <w:sz w:val="24"/>
          <w:szCs w:val="24"/>
        </w:rPr>
      </w:pPr>
      <w:r>
        <w:rPr>
          <w:rFonts w:ascii="宋体" w:hAnsi="宋体" w:cs="宋体" w:hint="eastAsia"/>
          <w:sz w:val="24"/>
          <w:szCs w:val="24"/>
        </w:rPr>
        <w:t>2.3.5数据冻结</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终端正常运行的条件下，施加额定的电压、电流，分别对不同冻结类型的冻结参数进行配置， 然后通过设置时间，使终端运行跨过冻结时间， 验证终端是否进行冻结以及冻结的内容是否符合要求 ，同时验证终端是否会对数据进行补冻结。</w:t>
      </w:r>
    </w:p>
    <w:p w:rsidR="00C60490" w:rsidRDefault="00000000">
      <w:pPr>
        <w:pStyle w:val="20"/>
        <w:rPr>
          <w:rFonts w:ascii="宋体" w:hAnsi="宋体" w:cs="宋体"/>
          <w:sz w:val="24"/>
          <w:szCs w:val="24"/>
        </w:rPr>
      </w:pPr>
      <w:r>
        <w:rPr>
          <w:rFonts w:ascii="宋体" w:hAnsi="宋体" w:cs="宋体" w:hint="eastAsia"/>
          <w:sz w:val="24"/>
          <w:szCs w:val="24"/>
        </w:rPr>
        <w:t>2.3.6事件记录</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按照事件的定义和触发的要求，终端运行过程中，分别施加相应的验证条件，验证事件记录是否能够正确记录，记录的次数和内容是否满足要求。</w:t>
      </w:r>
    </w:p>
    <w:p w:rsidR="00C60490" w:rsidRDefault="00000000">
      <w:pPr>
        <w:pStyle w:val="20"/>
        <w:rPr>
          <w:rFonts w:ascii="宋体" w:hAnsi="宋体" w:cs="宋体"/>
          <w:sz w:val="24"/>
          <w:szCs w:val="24"/>
        </w:rPr>
      </w:pPr>
      <w:r>
        <w:rPr>
          <w:rFonts w:ascii="宋体" w:hAnsi="宋体" w:cs="宋体" w:hint="eastAsia"/>
          <w:sz w:val="24"/>
          <w:szCs w:val="24"/>
        </w:rPr>
        <w:t>2.3.7显示功能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在参比条件下，目视观察终端的显示内容是否满足显示要求。</w:t>
      </w:r>
    </w:p>
    <w:p w:rsidR="00C60490" w:rsidRDefault="00000000">
      <w:pPr>
        <w:pStyle w:val="20"/>
        <w:rPr>
          <w:rFonts w:ascii="宋体" w:hAnsi="宋体" w:cs="宋体"/>
          <w:sz w:val="24"/>
          <w:szCs w:val="24"/>
        </w:rPr>
      </w:pPr>
      <w:r>
        <w:rPr>
          <w:rFonts w:ascii="宋体" w:hAnsi="宋体" w:cs="宋体" w:hint="eastAsia"/>
          <w:sz w:val="24"/>
          <w:szCs w:val="24"/>
        </w:rPr>
        <w:t>2.3.8通讯功能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在参比条件下，验证终端计量模组与管理模组同步通讯、异步通讯，与计量类模组的通讯是否按满足通讯时序以及通信协议要求。</w:t>
      </w:r>
    </w:p>
    <w:p w:rsidR="00C60490" w:rsidRDefault="00000000">
      <w:pPr>
        <w:spacing w:line="360" w:lineRule="auto"/>
        <w:ind w:firstLineChars="200" w:firstLine="480"/>
        <w:rPr>
          <w:rFonts w:ascii="宋体" w:hAnsi="宋体"/>
          <w:color w:val="000000"/>
        </w:rPr>
      </w:pPr>
      <w:r>
        <w:rPr>
          <w:rFonts w:ascii="宋体" w:hAnsi="宋体" w:cs="宋体" w:hint="eastAsia"/>
          <w:sz w:val="24"/>
          <w:szCs w:val="24"/>
        </w:rPr>
        <w:t xml:space="preserve">在参比条件下，分别通过上位机采集计量模组、管理模组以及控制蓝牙开关， 验证通信路由是否正确。 </w:t>
      </w:r>
      <w:r>
        <w:rPr>
          <w:rFonts w:ascii="宋体" w:hAnsi="宋体" w:cs="宋体" w:hint="eastAsia"/>
          <w:szCs w:val="21"/>
        </w:rPr>
        <w:t xml:space="preserve">    </w:t>
      </w:r>
      <w:r>
        <w:rPr>
          <w:rFonts w:hAnsi="Times New Roman" w:hint="eastAsia"/>
          <w:color w:val="000000"/>
        </w:rPr>
        <w:t xml:space="preserve"> </w:t>
      </w:r>
    </w:p>
    <w:p w:rsidR="00C60490" w:rsidRDefault="00000000">
      <w:pPr>
        <w:pStyle w:val="20"/>
        <w:rPr>
          <w:rFonts w:ascii="宋体" w:hAnsi="宋体" w:cs="宋体"/>
          <w:sz w:val="24"/>
          <w:szCs w:val="24"/>
        </w:rPr>
      </w:pPr>
      <w:r>
        <w:rPr>
          <w:rFonts w:ascii="宋体" w:hAnsi="宋体" w:cs="宋体" w:hint="eastAsia"/>
          <w:sz w:val="24"/>
          <w:szCs w:val="24"/>
        </w:rPr>
        <w:t>2.3.9精准灌溉控制功能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在参比条件下，通过主站发送远程开始用电，结束用电，验证终端是否正确执行。</w:t>
      </w:r>
    </w:p>
    <w:p w:rsidR="00C60490" w:rsidRDefault="00000000">
      <w:pPr>
        <w:pStyle w:val="20"/>
        <w:rPr>
          <w:rFonts w:ascii="宋体" w:hAnsi="宋体" w:cs="宋体"/>
          <w:sz w:val="24"/>
          <w:szCs w:val="24"/>
        </w:rPr>
      </w:pPr>
      <w:r>
        <w:rPr>
          <w:rFonts w:ascii="宋体" w:hAnsi="宋体" w:cs="宋体" w:hint="eastAsia"/>
          <w:sz w:val="24"/>
          <w:szCs w:val="24"/>
        </w:rPr>
        <w:lastRenderedPageBreak/>
        <w:t>2.3.10软件功能</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分别对开展升级机制试验、软件升级试验及软件升级影响研判分析。</w:t>
      </w:r>
    </w:p>
    <w:p w:rsidR="00C60490" w:rsidRDefault="00000000">
      <w:pPr>
        <w:pStyle w:val="20"/>
        <w:rPr>
          <w:rFonts w:ascii="宋体" w:hAnsi="宋体" w:cs="宋体"/>
          <w:sz w:val="28"/>
          <w:szCs w:val="28"/>
        </w:rPr>
      </w:pPr>
      <w:r>
        <w:rPr>
          <w:rFonts w:ascii="宋体" w:hAnsi="宋体" w:cs="宋体" w:hint="eastAsia"/>
          <w:sz w:val="28"/>
          <w:szCs w:val="28"/>
        </w:rPr>
        <w:t>三、 主要试验（或验证）情况</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在各项指标的试验及验证过程中使用的设备包括：温湿度试验箱、脉冲电压试验装置、交流电压试验装置、防尘防水测试试验箱、灼热丝、数字万用表、外磁场试验台、静电放电发生器、脉冲群发生器、电波暗室、浪涌发生器、衰减震荡波发生器、电压短时中断试验装置、振动台、冲击台、交变湿热箱等。</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在本文件起草工作过程中，委托烟台东方威思顿电气有限公司、河南许继仪表有限公司对标准中的主要指标分别进行了验证试验并出具了试验报告。</w:t>
      </w:r>
    </w:p>
    <w:p w:rsidR="00C60490" w:rsidRDefault="00000000">
      <w:pPr>
        <w:spacing w:line="360" w:lineRule="auto"/>
        <w:ind w:firstLineChars="200" w:firstLine="480"/>
        <w:rPr>
          <w:rFonts w:ascii="宋体" w:hAnsi="宋体" w:cs="宋体"/>
          <w:szCs w:val="21"/>
        </w:rPr>
      </w:pPr>
      <w:r>
        <w:rPr>
          <w:rFonts w:ascii="宋体" w:hAnsi="宋体" w:cs="宋体" w:hint="eastAsia"/>
          <w:sz w:val="24"/>
          <w:szCs w:val="24"/>
        </w:rPr>
        <w:t>对农排智能终端电能计量功能、时钟功能、费率时段、测量与监测、数据冻结、事件记录、显示功能、通讯功能（蓝牙通讯、载波通讯、4G模块通讯等） 及部分农排应用新功能进行了测试，测试结果均符合本文件中的指标要求，为标准的制定提供了试验数据支撑。</w:t>
      </w:r>
    </w:p>
    <w:p w:rsidR="00C60490" w:rsidRDefault="00000000">
      <w:pPr>
        <w:pStyle w:val="20"/>
        <w:rPr>
          <w:rFonts w:ascii="宋体" w:hAnsi="宋体" w:cs="宋体"/>
          <w:sz w:val="28"/>
          <w:szCs w:val="28"/>
        </w:rPr>
      </w:pPr>
      <w:r>
        <w:rPr>
          <w:rFonts w:ascii="宋体" w:hAnsi="宋体" w:cs="宋体" w:hint="eastAsia"/>
          <w:sz w:val="28"/>
          <w:szCs w:val="28"/>
        </w:rPr>
        <w:t>四、 标准涉及专利情况</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本文件不涉及任何专利问题。</w:t>
      </w:r>
    </w:p>
    <w:p w:rsidR="00C60490" w:rsidRDefault="00000000">
      <w:pPr>
        <w:pStyle w:val="20"/>
        <w:rPr>
          <w:rFonts w:ascii="宋体" w:hAnsi="宋体" w:cs="宋体"/>
          <w:sz w:val="28"/>
          <w:szCs w:val="28"/>
        </w:rPr>
      </w:pPr>
      <w:r>
        <w:rPr>
          <w:rFonts w:ascii="宋体" w:hAnsi="宋体" w:cs="宋体" w:hint="eastAsia"/>
          <w:sz w:val="28"/>
          <w:szCs w:val="28"/>
        </w:rPr>
        <w:t>五、 预期达到的社会效益、对产业发展的作用</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农业灌溉机井缺少有效管控，造成区域性地下水超采问题严重。为支撑农村电网改造升级，落实国家要求结合高标准农田建设和推广农业节水灌溉等工作，结合农业排灌计量的具体实践，在现有电力用户用电信息采集系统上，新增支持电-水计量系数转换、分户用水量存储和农业墒情采集的农排智能终端，规范农排智能监测终端的性能要求、功能配置、通信方式、通信协议等，规范农排智能终端相关设备的设计、检测过程技术要求，保证功能和技术的一致性，提高农排智能终端产品质量。农排智能监测终端可支撑农排台区排灌电-水计量系数转换、分户用水量存储、农业墒情采集和智能定位等高级业务应用，实现了电、水、农</w:t>
      </w:r>
      <w:r>
        <w:rPr>
          <w:rFonts w:ascii="宋体" w:hAnsi="宋体" w:cs="宋体" w:hint="eastAsia"/>
          <w:sz w:val="24"/>
          <w:szCs w:val="24"/>
        </w:rPr>
        <w:lastRenderedPageBreak/>
        <w:t>数据融合与精准灌溉应用，提高农业灌溉智能化水平。本标准可推广应用于终端厂家、各级电网公司，作为农排智能监测终端设计、制造、试验、使用和检验的依据，满足适用于农排灌溉场景下以电控水需求，提升国网公司精准化管理和精益化服务水平。</w:t>
      </w:r>
    </w:p>
    <w:p w:rsidR="00C60490" w:rsidRDefault="00000000">
      <w:pPr>
        <w:pStyle w:val="20"/>
        <w:rPr>
          <w:rFonts w:ascii="宋体" w:hAnsi="宋体" w:cs="宋体"/>
          <w:sz w:val="28"/>
          <w:szCs w:val="28"/>
        </w:rPr>
      </w:pPr>
      <w:r>
        <w:rPr>
          <w:rFonts w:ascii="宋体" w:hAnsi="宋体" w:cs="宋体" w:hint="eastAsia"/>
          <w:sz w:val="28"/>
          <w:szCs w:val="28"/>
        </w:rPr>
        <w:t>六、与国际、国外同类标准水平的对比情况</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目前国内外关于农排控制终端的相关标准不多（Q GDW 11999.5-2019 电力用户农排费控采集系统 第5部分：农排费控终端技术规范、Q GDW 11999.7-2019 电力用户农排费控采集系统 第7部分：农排费控终端信息交换安全技术规范），且现有的企业标准仅对农排终端作为电能计量装置或针对其费控功能做了相关要求，规定了其用于农业排灌场景的规格、适应环境、机械性能、电气性能、抗干扰及可靠性的技术要求和试验项目，但均未涉及水量计量和精准控制，尚无相关标注对终端应用于电-水计量系数转换和农业墒情采集等场景在技术和功能上进行规范。</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目前，尚未制定农排智能终端的国际标准</w:t>
      </w:r>
      <w:r w:rsidR="00084765">
        <w:rPr>
          <w:rFonts w:ascii="宋体" w:hAnsi="宋体" w:cs="宋体" w:hint="eastAsia"/>
          <w:sz w:val="24"/>
          <w:szCs w:val="24"/>
        </w:rPr>
        <w:t>、</w:t>
      </w:r>
      <w:r>
        <w:rPr>
          <w:rFonts w:ascii="宋体" w:hAnsi="宋体" w:cs="宋体" w:hint="eastAsia"/>
          <w:sz w:val="24"/>
          <w:szCs w:val="24"/>
        </w:rPr>
        <w:t>国家标准</w:t>
      </w:r>
      <w:r w:rsidR="00084765">
        <w:rPr>
          <w:rFonts w:ascii="宋体" w:hAnsi="宋体" w:cs="宋体" w:hint="eastAsia"/>
          <w:sz w:val="24"/>
          <w:szCs w:val="24"/>
        </w:rPr>
        <w:t>、</w:t>
      </w:r>
      <w:r>
        <w:rPr>
          <w:rFonts w:ascii="宋体" w:hAnsi="宋体" w:cs="宋体" w:hint="eastAsia"/>
          <w:sz w:val="24"/>
          <w:szCs w:val="24"/>
        </w:rPr>
        <w:t>行业标准</w:t>
      </w:r>
      <w:r w:rsidR="00084765">
        <w:rPr>
          <w:rFonts w:ascii="宋体" w:hAnsi="宋体" w:cs="宋体" w:hint="eastAsia"/>
          <w:sz w:val="24"/>
          <w:szCs w:val="24"/>
        </w:rPr>
        <w:t>及</w:t>
      </w:r>
      <w:r>
        <w:rPr>
          <w:rFonts w:ascii="宋体" w:hAnsi="宋体" w:cs="宋体" w:hint="eastAsia"/>
          <w:sz w:val="24"/>
          <w:szCs w:val="24"/>
        </w:rPr>
        <w:t>团体标准。</w:t>
      </w:r>
    </w:p>
    <w:p w:rsidR="00C60490" w:rsidRDefault="00000000">
      <w:pPr>
        <w:pStyle w:val="20"/>
        <w:rPr>
          <w:rFonts w:ascii="宋体" w:hAnsi="宋体" w:cs="宋体"/>
          <w:sz w:val="28"/>
          <w:szCs w:val="28"/>
        </w:rPr>
      </w:pPr>
      <w:r>
        <w:rPr>
          <w:rFonts w:ascii="宋体" w:hAnsi="宋体" w:cs="宋体" w:hint="eastAsia"/>
          <w:sz w:val="28"/>
          <w:szCs w:val="28"/>
        </w:rPr>
        <w:t>七、在标准体系中的位置，与现行相关法律、法规、规章及相关标准，特别是强制性标准的协调性</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与相关技术领域的国家现行法律、法规和政策保持一致。与现有标准、制定中的标准没有矛盾。</w:t>
      </w:r>
    </w:p>
    <w:p w:rsidR="00C60490" w:rsidRDefault="00000000">
      <w:pPr>
        <w:pStyle w:val="20"/>
        <w:rPr>
          <w:rFonts w:ascii="宋体" w:hAnsi="宋体" w:cs="宋体"/>
          <w:sz w:val="28"/>
          <w:szCs w:val="28"/>
        </w:rPr>
      </w:pPr>
      <w:r>
        <w:rPr>
          <w:rFonts w:ascii="宋体" w:hAnsi="宋体" w:cs="宋体" w:hint="eastAsia"/>
          <w:sz w:val="28"/>
          <w:szCs w:val="28"/>
        </w:rPr>
        <w:t>八、标准性质的重大分歧意见的处理经过和依据</w:t>
      </w:r>
    </w:p>
    <w:p w:rsidR="00C60490" w:rsidRDefault="00000000">
      <w:pPr>
        <w:spacing w:line="360" w:lineRule="auto"/>
        <w:ind w:firstLineChars="200" w:firstLine="480"/>
        <w:rPr>
          <w:rFonts w:ascii="宋体" w:hAnsi="宋体" w:cs="宋体"/>
          <w:sz w:val="24"/>
          <w:szCs w:val="24"/>
          <w:lang w:val="zh-CN"/>
        </w:rPr>
      </w:pPr>
      <w:r>
        <w:rPr>
          <w:rFonts w:ascii="宋体" w:hAnsi="宋体" w:cs="宋体" w:hint="eastAsia"/>
          <w:sz w:val="24"/>
          <w:szCs w:val="24"/>
          <w:lang w:val="zh-CN"/>
        </w:rPr>
        <w:t>无。</w:t>
      </w:r>
    </w:p>
    <w:p w:rsidR="00C60490" w:rsidRDefault="00000000">
      <w:pPr>
        <w:pStyle w:val="20"/>
        <w:rPr>
          <w:rFonts w:ascii="宋体" w:hAnsi="宋体" w:cs="宋体"/>
          <w:sz w:val="28"/>
          <w:szCs w:val="28"/>
        </w:rPr>
      </w:pPr>
      <w:r>
        <w:rPr>
          <w:rFonts w:ascii="宋体" w:hAnsi="宋体" w:cs="宋体" w:hint="eastAsia"/>
          <w:sz w:val="28"/>
          <w:szCs w:val="28"/>
        </w:rPr>
        <w:t>九、标准性质的建议说明</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本文件为推荐性标准，旨在为此类设备的设计、制造、采购及验收提供规范性依据，但不强制执行。</w:t>
      </w:r>
    </w:p>
    <w:p w:rsidR="00C60490" w:rsidRDefault="00000000">
      <w:pPr>
        <w:pStyle w:val="20"/>
        <w:rPr>
          <w:rFonts w:ascii="宋体" w:hAnsi="宋体" w:cs="宋体"/>
          <w:sz w:val="28"/>
          <w:szCs w:val="28"/>
        </w:rPr>
      </w:pPr>
      <w:r>
        <w:rPr>
          <w:rFonts w:ascii="宋体" w:hAnsi="宋体" w:cs="宋体" w:hint="eastAsia"/>
          <w:sz w:val="28"/>
          <w:szCs w:val="28"/>
        </w:rPr>
        <w:lastRenderedPageBreak/>
        <w:t>十、贯彻标准的要求和措施建议（包括组织措施、技术措施、过渡办法、实施日期等）</w:t>
      </w:r>
    </w:p>
    <w:p w:rsidR="00C60490" w:rsidRDefault="00000000">
      <w:pPr>
        <w:spacing w:line="600" w:lineRule="exact"/>
        <w:rPr>
          <w:rFonts w:ascii="宋体" w:hAnsi="宋体" w:cs="宋体"/>
          <w:sz w:val="24"/>
          <w:szCs w:val="24"/>
          <w:lang w:val="zh-CN"/>
        </w:rPr>
      </w:pPr>
      <w:r>
        <w:rPr>
          <w:rFonts w:ascii="Times New Roman" w:hAnsi="Times New Roman" w:hint="eastAsia"/>
        </w:rPr>
        <w:t xml:space="preserve">   </w:t>
      </w:r>
      <w:r>
        <w:rPr>
          <w:rFonts w:ascii="宋体" w:hAnsi="宋体" w:cs="宋体" w:hint="eastAsia"/>
          <w:sz w:val="24"/>
          <w:szCs w:val="24"/>
        </w:rPr>
        <w:t xml:space="preserve"> </w:t>
      </w:r>
      <w:r>
        <w:rPr>
          <w:rFonts w:ascii="宋体" w:hAnsi="宋体" w:cs="宋体" w:hint="eastAsia"/>
          <w:sz w:val="24"/>
          <w:szCs w:val="24"/>
          <w:lang w:val="zh-CN"/>
        </w:rPr>
        <w:t>无。</w:t>
      </w:r>
    </w:p>
    <w:p w:rsidR="00C60490" w:rsidRDefault="00000000">
      <w:pPr>
        <w:pStyle w:val="20"/>
        <w:rPr>
          <w:rFonts w:ascii="宋体" w:hAnsi="宋体" w:cs="宋体"/>
          <w:sz w:val="28"/>
          <w:szCs w:val="28"/>
        </w:rPr>
      </w:pPr>
      <w:r>
        <w:rPr>
          <w:rFonts w:ascii="宋体" w:hAnsi="宋体" w:cs="宋体" w:hint="eastAsia"/>
          <w:sz w:val="28"/>
          <w:szCs w:val="28"/>
        </w:rPr>
        <w:t>十一、废止现行相关标准的建议</w:t>
      </w:r>
    </w:p>
    <w:p w:rsidR="00C60490" w:rsidRDefault="00000000">
      <w:pPr>
        <w:spacing w:line="600" w:lineRule="exact"/>
        <w:rPr>
          <w:rFonts w:ascii="宋体" w:hAnsi="宋体" w:cs="宋体"/>
          <w:sz w:val="24"/>
          <w:szCs w:val="24"/>
        </w:rPr>
      </w:pPr>
      <w:r>
        <w:rPr>
          <w:rFonts w:ascii="宋体" w:hAnsi="宋体" w:cs="宋体" w:hint="eastAsia"/>
          <w:szCs w:val="21"/>
        </w:rPr>
        <w:t xml:space="preserve">   </w:t>
      </w:r>
      <w:r>
        <w:rPr>
          <w:rFonts w:ascii="宋体" w:hAnsi="宋体" w:cs="宋体" w:hint="eastAsia"/>
          <w:sz w:val="24"/>
          <w:szCs w:val="24"/>
        </w:rPr>
        <w:t xml:space="preserve"> 无。</w:t>
      </w:r>
    </w:p>
    <w:p w:rsidR="00C60490" w:rsidRDefault="00000000">
      <w:pPr>
        <w:pStyle w:val="20"/>
        <w:rPr>
          <w:rFonts w:ascii="宋体" w:hAnsi="宋体" w:cs="宋体"/>
          <w:sz w:val="28"/>
          <w:szCs w:val="28"/>
          <w:lang w:val="zh-CN"/>
        </w:rPr>
      </w:pPr>
      <w:r>
        <w:rPr>
          <w:rFonts w:ascii="宋体" w:hAnsi="宋体" w:cs="宋体" w:hint="eastAsia"/>
          <w:sz w:val="28"/>
          <w:szCs w:val="28"/>
        </w:rPr>
        <w:t>十二、</w:t>
      </w:r>
      <w:r>
        <w:rPr>
          <w:rFonts w:ascii="宋体" w:hAnsi="宋体" w:cs="宋体" w:hint="eastAsia"/>
          <w:sz w:val="28"/>
          <w:szCs w:val="28"/>
          <w:lang w:val="zh-CN"/>
        </w:rPr>
        <w:t>其他予以说明的事项</w:t>
      </w:r>
    </w:p>
    <w:p w:rsidR="00C60490" w:rsidRDefault="00000000">
      <w:pPr>
        <w:spacing w:line="360" w:lineRule="auto"/>
        <w:ind w:firstLineChars="200" w:firstLine="480"/>
        <w:rPr>
          <w:rFonts w:ascii="宋体" w:hAnsi="宋体" w:cs="宋体"/>
          <w:sz w:val="24"/>
          <w:szCs w:val="24"/>
        </w:rPr>
      </w:pPr>
      <w:r>
        <w:rPr>
          <w:rFonts w:ascii="宋体" w:hAnsi="宋体" w:cs="宋体" w:hint="eastAsia"/>
          <w:sz w:val="24"/>
          <w:szCs w:val="24"/>
        </w:rPr>
        <w:t>无。</w:t>
      </w:r>
    </w:p>
    <w:sectPr w:rsidR="00C60490">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4F1F" w:rsidRDefault="00E24F1F">
      <w:r>
        <w:separator/>
      </w:r>
    </w:p>
  </w:endnote>
  <w:endnote w:type="continuationSeparator" w:id="0">
    <w:p w:rsidR="00E24F1F" w:rsidRDefault="00E2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0490" w:rsidRDefault="00000000">
    <w:pPr>
      <w:pStyle w:val="af0"/>
      <w:jc w:val="center"/>
    </w:pPr>
    <w:r>
      <w:fldChar w:fldCharType="begin"/>
    </w:r>
    <w:r>
      <w:instrText>PAGE   \* MERGEFORMAT</w:instrText>
    </w:r>
    <w:r>
      <w:fldChar w:fldCharType="separate"/>
    </w:r>
    <w:r>
      <w:t>3</w:t>
    </w:r>
    <w:r>
      <w:fldChar w:fldCharType="end"/>
    </w:r>
  </w:p>
  <w:p w:rsidR="00C60490" w:rsidRDefault="00C6049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4F1F" w:rsidRDefault="00E24F1F">
      <w:r>
        <w:separator/>
      </w:r>
    </w:p>
  </w:footnote>
  <w:footnote w:type="continuationSeparator" w:id="0">
    <w:p w:rsidR="00E24F1F" w:rsidRDefault="00E24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568"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13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44C50F90"/>
    <w:multiLevelType w:val="multilevel"/>
    <w:tmpl w:val="44C50F90"/>
    <w:lvl w:ilvl="0">
      <w:start w:val="1"/>
      <w:numFmt w:val="lowerLetter"/>
      <w:pStyle w:val="a0"/>
      <w:lvlText w:val="%1)"/>
      <w:lvlJc w:val="left"/>
      <w:pPr>
        <w:tabs>
          <w:tab w:val="left" w:pos="851"/>
        </w:tabs>
        <w:ind w:left="851" w:hanging="426"/>
      </w:pPr>
      <w:rPr>
        <w:rFonts w:ascii="宋体" w:eastAsia="宋体" w:hAnsi="Times New Roman" w:hint="eastAsia"/>
        <w:sz w:val="21"/>
      </w:rPr>
    </w:lvl>
    <w:lvl w:ilvl="1">
      <w:start w:val="1"/>
      <w:numFmt w:val="decimal"/>
      <w:pStyle w:val="a1"/>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636641830">
    <w:abstractNumId w:val="1"/>
  </w:num>
  <w:num w:numId="2" w16cid:durableId="1710639262">
    <w:abstractNumId w:val="2"/>
  </w:num>
  <w:num w:numId="3" w16cid:durableId="489101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2ZmIwNmJmZTI5ZWNhNTI3M2U2MzliNWE3ZmM3MWEifQ=="/>
  </w:docVars>
  <w:rsids>
    <w:rsidRoot w:val="00C07FD7"/>
    <w:rsid w:val="000125B6"/>
    <w:rsid w:val="00021860"/>
    <w:rsid w:val="00021AD1"/>
    <w:rsid w:val="00023888"/>
    <w:rsid w:val="00026950"/>
    <w:rsid w:val="00026A6A"/>
    <w:rsid w:val="000327DB"/>
    <w:rsid w:val="00032CEB"/>
    <w:rsid w:val="000342AE"/>
    <w:rsid w:val="00035ABD"/>
    <w:rsid w:val="00035D6A"/>
    <w:rsid w:val="00041DA0"/>
    <w:rsid w:val="00043280"/>
    <w:rsid w:val="000445C2"/>
    <w:rsid w:val="00044EBD"/>
    <w:rsid w:val="00053DD0"/>
    <w:rsid w:val="00056E08"/>
    <w:rsid w:val="00060C0C"/>
    <w:rsid w:val="000746BA"/>
    <w:rsid w:val="00076F33"/>
    <w:rsid w:val="00084765"/>
    <w:rsid w:val="00091438"/>
    <w:rsid w:val="000929A1"/>
    <w:rsid w:val="00097BE9"/>
    <w:rsid w:val="000A0560"/>
    <w:rsid w:val="000A324F"/>
    <w:rsid w:val="000B0CCB"/>
    <w:rsid w:val="000B237C"/>
    <w:rsid w:val="000C3349"/>
    <w:rsid w:val="000C6A2D"/>
    <w:rsid w:val="000D17D0"/>
    <w:rsid w:val="000D4836"/>
    <w:rsid w:val="000D4CE1"/>
    <w:rsid w:val="000D7AD7"/>
    <w:rsid w:val="000E047B"/>
    <w:rsid w:val="000E2158"/>
    <w:rsid w:val="000F6655"/>
    <w:rsid w:val="0012193A"/>
    <w:rsid w:val="00131C05"/>
    <w:rsid w:val="001327F4"/>
    <w:rsid w:val="0013476B"/>
    <w:rsid w:val="00140FB8"/>
    <w:rsid w:val="00141B98"/>
    <w:rsid w:val="001446ED"/>
    <w:rsid w:val="00146EDD"/>
    <w:rsid w:val="00161356"/>
    <w:rsid w:val="00165275"/>
    <w:rsid w:val="00183189"/>
    <w:rsid w:val="00184D4C"/>
    <w:rsid w:val="00192421"/>
    <w:rsid w:val="00192C8B"/>
    <w:rsid w:val="00194207"/>
    <w:rsid w:val="001A507A"/>
    <w:rsid w:val="001B4E14"/>
    <w:rsid w:val="001C3ED8"/>
    <w:rsid w:val="001C5231"/>
    <w:rsid w:val="001C55ED"/>
    <w:rsid w:val="001D038D"/>
    <w:rsid w:val="001F7207"/>
    <w:rsid w:val="001F7AB4"/>
    <w:rsid w:val="002004B4"/>
    <w:rsid w:val="002004D0"/>
    <w:rsid w:val="00206A66"/>
    <w:rsid w:val="00210C5F"/>
    <w:rsid w:val="002145BD"/>
    <w:rsid w:val="00221BDC"/>
    <w:rsid w:val="00224108"/>
    <w:rsid w:val="00243479"/>
    <w:rsid w:val="00247BF2"/>
    <w:rsid w:val="002542CE"/>
    <w:rsid w:val="0026529F"/>
    <w:rsid w:val="00284FBA"/>
    <w:rsid w:val="00285508"/>
    <w:rsid w:val="002864C4"/>
    <w:rsid w:val="00292180"/>
    <w:rsid w:val="00293FB6"/>
    <w:rsid w:val="00294CF4"/>
    <w:rsid w:val="002A3B58"/>
    <w:rsid w:val="002A484B"/>
    <w:rsid w:val="002A6CD7"/>
    <w:rsid w:val="002B4C66"/>
    <w:rsid w:val="002C464D"/>
    <w:rsid w:val="002C4E91"/>
    <w:rsid w:val="002C769C"/>
    <w:rsid w:val="002E1DAF"/>
    <w:rsid w:val="002E2F23"/>
    <w:rsid w:val="002F02C5"/>
    <w:rsid w:val="002F3DF7"/>
    <w:rsid w:val="002F7CA0"/>
    <w:rsid w:val="0030109E"/>
    <w:rsid w:val="00307E6D"/>
    <w:rsid w:val="00310AD6"/>
    <w:rsid w:val="00311B24"/>
    <w:rsid w:val="00312657"/>
    <w:rsid w:val="00316AEB"/>
    <w:rsid w:val="00317C9F"/>
    <w:rsid w:val="0034542C"/>
    <w:rsid w:val="00345489"/>
    <w:rsid w:val="00351087"/>
    <w:rsid w:val="003604FE"/>
    <w:rsid w:val="00371A8E"/>
    <w:rsid w:val="0037225A"/>
    <w:rsid w:val="003736A6"/>
    <w:rsid w:val="00380C6C"/>
    <w:rsid w:val="003817FA"/>
    <w:rsid w:val="00381AA0"/>
    <w:rsid w:val="003823C7"/>
    <w:rsid w:val="003A084F"/>
    <w:rsid w:val="003A1A73"/>
    <w:rsid w:val="003A2E44"/>
    <w:rsid w:val="003B0E59"/>
    <w:rsid w:val="003B5A86"/>
    <w:rsid w:val="003C273A"/>
    <w:rsid w:val="003D40C4"/>
    <w:rsid w:val="003D52D5"/>
    <w:rsid w:val="003D587D"/>
    <w:rsid w:val="003D759D"/>
    <w:rsid w:val="003E1031"/>
    <w:rsid w:val="003E7257"/>
    <w:rsid w:val="003F5A3A"/>
    <w:rsid w:val="003F7ED7"/>
    <w:rsid w:val="004001EF"/>
    <w:rsid w:val="00411CCA"/>
    <w:rsid w:val="00414B73"/>
    <w:rsid w:val="0042301F"/>
    <w:rsid w:val="00426380"/>
    <w:rsid w:val="00426D41"/>
    <w:rsid w:val="00433F0D"/>
    <w:rsid w:val="00453CFD"/>
    <w:rsid w:val="0046366A"/>
    <w:rsid w:val="00472477"/>
    <w:rsid w:val="00473EC6"/>
    <w:rsid w:val="00491AAF"/>
    <w:rsid w:val="00494341"/>
    <w:rsid w:val="00495729"/>
    <w:rsid w:val="004958A9"/>
    <w:rsid w:val="004B42FD"/>
    <w:rsid w:val="004D035F"/>
    <w:rsid w:val="004D25D8"/>
    <w:rsid w:val="004D6719"/>
    <w:rsid w:val="004E142A"/>
    <w:rsid w:val="004E5B62"/>
    <w:rsid w:val="004F77A2"/>
    <w:rsid w:val="004F7B35"/>
    <w:rsid w:val="005023D2"/>
    <w:rsid w:val="00504D78"/>
    <w:rsid w:val="00514919"/>
    <w:rsid w:val="0052574F"/>
    <w:rsid w:val="0053279D"/>
    <w:rsid w:val="0054263F"/>
    <w:rsid w:val="005453CA"/>
    <w:rsid w:val="00547862"/>
    <w:rsid w:val="005517EF"/>
    <w:rsid w:val="00551D13"/>
    <w:rsid w:val="0055341B"/>
    <w:rsid w:val="00554865"/>
    <w:rsid w:val="00560931"/>
    <w:rsid w:val="00576B8F"/>
    <w:rsid w:val="00580A71"/>
    <w:rsid w:val="00581791"/>
    <w:rsid w:val="00582A51"/>
    <w:rsid w:val="00596C29"/>
    <w:rsid w:val="005A0A0F"/>
    <w:rsid w:val="005A7101"/>
    <w:rsid w:val="005B04B9"/>
    <w:rsid w:val="005D3277"/>
    <w:rsid w:val="005E1501"/>
    <w:rsid w:val="005E3C02"/>
    <w:rsid w:val="005F1579"/>
    <w:rsid w:val="005F2E08"/>
    <w:rsid w:val="005F79C2"/>
    <w:rsid w:val="00601078"/>
    <w:rsid w:val="00607AF6"/>
    <w:rsid w:val="00612AE7"/>
    <w:rsid w:val="00634184"/>
    <w:rsid w:val="00642FCC"/>
    <w:rsid w:val="00647254"/>
    <w:rsid w:val="00656F8B"/>
    <w:rsid w:val="00657FF9"/>
    <w:rsid w:val="00670EC7"/>
    <w:rsid w:val="0067132A"/>
    <w:rsid w:val="006771EB"/>
    <w:rsid w:val="0068048B"/>
    <w:rsid w:val="00685DCF"/>
    <w:rsid w:val="00686FDF"/>
    <w:rsid w:val="006B265E"/>
    <w:rsid w:val="006B3A9B"/>
    <w:rsid w:val="006C06FD"/>
    <w:rsid w:val="006E04C4"/>
    <w:rsid w:val="006E6D06"/>
    <w:rsid w:val="0070016D"/>
    <w:rsid w:val="007030BB"/>
    <w:rsid w:val="007109C3"/>
    <w:rsid w:val="00713107"/>
    <w:rsid w:val="007201B7"/>
    <w:rsid w:val="00721E6D"/>
    <w:rsid w:val="007320F6"/>
    <w:rsid w:val="00735D69"/>
    <w:rsid w:val="0074014F"/>
    <w:rsid w:val="00740307"/>
    <w:rsid w:val="00741613"/>
    <w:rsid w:val="00752B3F"/>
    <w:rsid w:val="007638AD"/>
    <w:rsid w:val="00775364"/>
    <w:rsid w:val="00781EEC"/>
    <w:rsid w:val="00782CFC"/>
    <w:rsid w:val="00783699"/>
    <w:rsid w:val="00792363"/>
    <w:rsid w:val="007932EA"/>
    <w:rsid w:val="007A0FB8"/>
    <w:rsid w:val="007A282E"/>
    <w:rsid w:val="007A39E9"/>
    <w:rsid w:val="007B25F6"/>
    <w:rsid w:val="007B6B4B"/>
    <w:rsid w:val="007B75E0"/>
    <w:rsid w:val="007C53A8"/>
    <w:rsid w:val="007D3FB3"/>
    <w:rsid w:val="007D4263"/>
    <w:rsid w:val="007D5CA9"/>
    <w:rsid w:val="007D773A"/>
    <w:rsid w:val="007E6051"/>
    <w:rsid w:val="007F37E2"/>
    <w:rsid w:val="007F438C"/>
    <w:rsid w:val="007F5B2B"/>
    <w:rsid w:val="007F5D9E"/>
    <w:rsid w:val="007F5EAD"/>
    <w:rsid w:val="00800EB7"/>
    <w:rsid w:val="00805DEA"/>
    <w:rsid w:val="00807BC7"/>
    <w:rsid w:val="00813009"/>
    <w:rsid w:val="0081723B"/>
    <w:rsid w:val="008261D3"/>
    <w:rsid w:val="00840377"/>
    <w:rsid w:val="0085109D"/>
    <w:rsid w:val="008652F1"/>
    <w:rsid w:val="008A1B7C"/>
    <w:rsid w:val="008B5D3C"/>
    <w:rsid w:val="008B6F36"/>
    <w:rsid w:val="008C2741"/>
    <w:rsid w:val="008D51C7"/>
    <w:rsid w:val="008F1A3F"/>
    <w:rsid w:val="00904D19"/>
    <w:rsid w:val="0091049B"/>
    <w:rsid w:val="00911E72"/>
    <w:rsid w:val="009123EA"/>
    <w:rsid w:val="00915B37"/>
    <w:rsid w:val="00916365"/>
    <w:rsid w:val="009303E4"/>
    <w:rsid w:val="0094073D"/>
    <w:rsid w:val="00950997"/>
    <w:rsid w:val="00951150"/>
    <w:rsid w:val="00952E56"/>
    <w:rsid w:val="0096265C"/>
    <w:rsid w:val="009649D1"/>
    <w:rsid w:val="00971FFA"/>
    <w:rsid w:val="009729E2"/>
    <w:rsid w:val="00980CC7"/>
    <w:rsid w:val="00983CE9"/>
    <w:rsid w:val="009909D4"/>
    <w:rsid w:val="009910D3"/>
    <w:rsid w:val="00997646"/>
    <w:rsid w:val="009D2B32"/>
    <w:rsid w:val="009D5316"/>
    <w:rsid w:val="009D539D"/>
    <w:rsid w:val="009D5E09"/>
    <w:rsid w:val="009D659E"/>
    <w:rsid w:val="009E3906"/>
    <w:rsid w:val="009E3D3C"/>
    <w:rsid w:val="009E541C"/>
    <w:rsid w:val="009F2FFA"/>
    <w:rsid w:val="009F4E4B"/>
    <w:rsid w:val="009F538F"/>
    <w:rsid w:val="00A00A02"/>
    <w:rsid w:val="00A10C43"/>
    <w:rsid w:val="00A141D8"/>
    <w:rsid w:val="00A218BA"/>
    <w:rsid w:val="00A43FDA"/>
    <w:rsid w:val="00A45735"/>
    <w:rsid w:val="00A55416"/>
    <w:rsid w:val="00A577E2"/>
    <w:rsid w:val="00A62621"/>
    <w:rsid w:val="00A65029"/>
    <w:rsid w:val="00A73B4E"/>
    <w:rsid w:val="00A76F83"/>
    <w:rsid w:val="00A854F6"/>
    <w:rsid w:val="00A855B9"/>
    <w:rsid w:val="00A9442A"/>
    <w:rsid w:val="00AA02D0"/>
    <w:rsid w:val="00AA1F60"/>
    <w:rsid w:val="00AA53C6"/>
    <w:rsid w:val="00AB29A6"/>
    <w:rsid w:val="00AC2761"/>
    <w:rsid w:val="00AD128C"/>
    <w:rsid w:val="00AD3B06"/>
    <w:rsid w:val="00AF29E8"/>
    <w:rsid w:val="00AF2FC0"/>
    <w:rsid w:val="00B03E6A"/>
    <w:rsid w:val="00B0432B"/>
    <w:rsid w:val="00B04431"/>
    <w:rsid w:val="00B05335"/>
    <w:rsid w:val="00B07968"/>
    <w:rsid w:val="00B223D8"/>
    <w:rsid w:val="00B227F6"/>
    <w:rsid w:val="00B363A1"/>
    <w:rsid w:val="00B51BB3"/>
    <w:rsid w:val="00B5376B"/>
    <w:rsid w:val="00B710A0"/>
    <w:rsid w:val="00B94948"/>
    <w:rsid w:val="00BA1248"/>
    <w:rsid w:val="00BB392C"/>
    <w:rsid w:val="00BC2A58"/>
    <w:rsid w:val="00BC463B"/>
    <w:rsid w:val="00BC4820"/>
    <w:rsid w:val="00BD2A6B"/>
    <w:rsid w:val="00BE01BA"/>
    <w:rsid w:val="00BF3D86"/>
    <w:rsid w:val="00C02B99"/>
    <w:rsid w:val="00C0676C"/>
    <w:rsid w:val="00C06773"/>
    <w:rsid w:val="00C07FD7"/>
    <w:rsid w:val="00C24F5C"/>
    <w:rsid w:val="00C26DC1"/>
    <w:rsid w:val="00C27F6A"/>
    <w:rsid w:val="00C303B6"/>
    <w:rsid w:val="00C35947"/>
    <w:rsid w:val="00C35DF7"/>
    <w:rsid w:val="00C43FDE"/>
    <w:rsid w:val="00C60490"/>
    <w:rsid w:val="00C63018"/>
    <w:rsid w:val="00C63B25"/>
    <w:rsid w:val="00C70BED"/>
    <w:rsid w:val="00C76244"/>
    <w:rsid w:val="00C82E2D"/>
    <w:rsid w:val="00C85261"/>
    <w:rsid w:val="00CA6EBE"/>
    <w:rsid w:val="00CC7860"/>
    <w:rsid w:val="00CD43CB"/>
    <w:rsid w:val="00CD6C9A"/>
    <w:rsid w:val="00CF074D"/>
    <w:rsid w:val="00CF5406"/>
    <w:rsid w:val="00D108F4"/>
    <w:rsid w:val="00D17521"/>
    <w:rsid w:val="00D200D6"/>
    <w:rsid w:val="00D20E90"/>
    <w:rsid w:val="00D23634"/>
    <w:rsid w:val="00D24E58"/>
    <w:rsid w:val="00D45ECB"/>
    <w:rsid w:val="00D506CE"/>
    <w:rsid w:val="00D7033C"/>
    <w:rsid w:val="00D84706"/>
    <w:rsid w:val="00D85F2C"/>
    <w:rsid w:val="00D90933"/>
    <w:rsid w:val="00DB0013"/>
    <w:rsid w:val="00DB3454"/>
    <w:rsid w:val="00DC3630"/>
    <w:rsid w:val="00DD718B"/>
    <w:rsid w:val="00DD7EBE"/>
    <w:rsid w:val="00DE2825"/>
    <w:rsid w:val="00DF5125"/>
    <w:rsid w:val="00DF6A53"/>
    <w:rsid w:val="00DF6A54"/>
    <w:rsid w:val="00E00C17"/>
    <w:rsid w:val="00E025A9"/>
    <w:rsid w:val="00E07DFE"/>
    <w:rsid w:val="00E11A6F"/>
    <w:rsid w:val="00E166E6"/>
    <w:rsid w:val="00E1672C"/>
    <w:rsid w:val="00E24F1F"/>
    <w:rsid w:val="00E42B81"/>
    <w:rsid w:val="00E47E34"/>
    <w:rsid w:val="00E50118"/>
    <w:rsid w:val="00E56F40"/>
    <w:rsid w:val="00E72BD3"/>
    <w:rsid w:val="00E74BFC"/>
    <w:rsid w:val="00E75D8B"/>
    <w:rsid w:val="00E77999"/>
    <w:rsid w:val="00E85B34"/>
    <w:rsid w:val="00E95999"/>
    <w:rsid w:val="00EA4114"/>
    <w:rsid w:val="00EA7644"/>
    <w:rsid w:val="00EB1602"/>
    <w:rsid w:val="00EB428F"/>
    <w:rsid w:val="00EB46D7"/>
    <w:rsid w:val="00EC5B9D"/>
    <w:rsid w:val="00ED545D"/>
    <w:rsid w:val="00EE0B00"/>
    <w:rsid w:val="00F1078D"/>
    <w:rsid w:val="00F3640C"/>
    <w:rsid w:val="00F3754A"/>
    <w:rsid w:val="00F46547"/>
    <w:rsid w:val="00F5148D"/>
    <w:rsid w:val="00F51C56"/>
    <w:rsid w:val="00F52715"/>
    <w:rsid w:val="00F61FAD"/>
    <w:rsid w:val="00F64A7B"/>
    <w:rsid w:val="00F842D4"/>
    <w:rsid w:val="00F9244E"/>
    <w:rsid w:val="00F937EE"/>
    <w:rsid w:val="00F96C35"/>
    <w:rsid w:val="00FB4480"/>
    <w:rsid w:val="00FD0271"/>
    <w:rsid w:val="00FD4FE4"/>
    <w:rsid w:val="00FE3DBE"/>
    <w:rsid w:val="00FF1806"/>
    <w:rsid w:val="00FF4757"/>
    <w:rsid w:val="00FF5E2B"/>
    <w:rsid w:val="00FF60E8"/>
    <w:rsid w:val="015D78C2"/>
    <w:rsid w:val="01F8525A"/>
    <w:rsid w:val="025A548B"/>
    <w:rsid w:val="0267744B"/>
    <w:rsid w:val="032B7CCC"/>
    <w:rsid w:val="03EA2651"/>
    <w:rsid w:val="03F3608F"/>
    <w:rsid w:val="03F73430"/>
    <w:rsid w:val="0417043F"/>
    <w:rsid w:val="04B406C8"/>
    <w:rsid w:val="051A11D0"/>
    <w:rsid w:val="05B71053"/>
    <w:rsid w:val="07282BD2"/>
    <w:rsid w:val="073525D0"/>
    <w:rsid w:val="07933427"/>
    <w:rsid w:val="083F1491"/>
    <w:rsid w:val="08591C04"/>
    <w:rsid w:val="090215F0"/>
    <w:rsid w:val="091229C5"/>
    <w:rsid w:val="093B6561"/>
    <w:rsid w:val="094B1189"/>
    <w:rsid w:val="09F60F32"/>
    <w:rsid w:val="09FF031A"/>
    <w:rsid w:val="0A9E3E3B"/>
    <w:rsid w:val="0AA00011"/>
    <w:rsid w:val="0AB5412C"/>
    <w:rsid w:val="0ABA1CA5"/>
    <w:rsid w:val="0B090D2C"/>
    <w:rsid w:val="0B1B4924"/>
    <w:rsid w:val="0B957346"/>
    <w:rsid w:val="0C7A2535"/>
    <w:rsid w:val="0C7A6ED4"/>
    <w:rsid w:val="0CBF15D6"/>
    <w:rsid w:val="0CDB522D"/>
    <w:rsid w:val="0D5F0B5D"/>
    <w:rsid w:val="0ED06408"/>
    <w:rsid w:val="0EE86A55"/>
    <w:rsid w:val="10DF406E"/>
    <w:rsid w:val="11A7392F"/>
    <w:rsid w:val="11E90053"/>
    <w:rsid w:val="121D4CDC"/>
    <w:rsid w:val="12BF58FF"/>
    <w:rsid w:val="12F24C1A"/>
    <w:rsid w:val="13176148"/>
    <w:rsid w:val="13760D4E"/>
    <w:rsid w:val="13767950"/>
    <w:rsid w:val="14147A3B"/>
    <w:rsid w:val="15020CA3"/>
    <w:rsid w:val="15524B7C"/>
    <w:rsid w:val="16035571"/>
    <w:rsid w:val="162639CD"/>
    <w:rsid w:val="16436BBB"/>
    <w:rsid w:val="16BB474E"/>
    <w:rsid w:val="180E1119"/>
    <w:rsid w:val="18393541"/>
    <w:rsid w:val="18A176F2"/>
    <w:rsid w:val="18A500EF"/>
    <w:rsid w:val="18C35161"/>
    <w:rsid w:val="195D7E33"/>
    <w:rsid w:val="198552B3"/>
    <w:rsid w:val="19970503"/>
    <w:rsid w:val="19C27D7F"/>
    <w:rsid w:val="1B002FFA"/>
    <w:rsid w:val="1B9907D4"/>
    <w:rsid w:val="1BF6305B"/>
    <w:rsid w:val="1C0C749B"/>
    <w:rsid w:val="1C2A1FFA"/>
    <w:rsid w:val="1D597CC3"/>
    <w:rsid w:val="1D7D286E"/>
    <w:rsid w:val="1DD31238"/>
    <w:rsid w:val="1DFF5FFF"/>
    <w:rsid w:val="1E126148"/>
    <w:rsid w:val="1F6736C2"/>
    <w:rsid w:val="1F783185"/>
    <w:rsid w:val="2071095A"/>
    <w:rsid w:val="20840C8E"/>
    <w:rsid w:val="208D6BBB"/>
    <w:rsid w:val="20AD639B"/>
    <w:rsid w:val="21D7460A"/>
    <w:rsid w:val="2216145C"/>
    <w:rsid w:val="223649D8"/>
    <w:rsid w:val="22A45836"/>
    <w:rsid w:val="22B34C76"/>
    <w:rsid w:val="23A75EEF"/>
    <w:rsid w:val="24481FE0"/>
    <w:rsid w:val="248764B8"/>
    <w:rsid w:val="248D6E91"/>
    <w:rsid w:val="24BC14A0"/>
    <w:rsid w:val="25363B65"/>
    <w:rsid w:val="256838D4"/>
    <w:rsid w:val="259768C4"/>
    <w:rsid w:val="25F36AC0"/>
    <w:rsid w:val="26A45E4D"/>
    <w:rsid w:val="26D20B6F"/>
    <w:rsid w:val="26DE4430"/>
    <w:rsid w:val="272711D4"/>
    <w:rsid w:val="27960276"/>
    <w:rsid w:val="29417347"/>
    <w:rsid w:val="299F3708"/>
    <w:rsid w:val="29A852E1"/>
    <w:rsid w:val="29EB4EC7"/>
    <w:rsid w:val="2A2F41FE"/>
    <w:rsid w:val="2A4D3368"/>
    <w:rsid w:val="2A721FF8"/>
    <w:rsid w:val="2B187193"/>
    <w:rsid w:val="2B2C3011"/>
    <w:rsid w:val="2B59385C"/>
    <w:rsid w:val="2B882FE3"/>
    <w:rsid w:val="2BFE0E57"/>
    <w:rsid w:val="2C3A22F9"/>
    <w:rsid w:val="2CA03331"/>
    <w:rsid w:val="2CF74318"/>
    <w:rsid w:val="2CFB12C0"/>
    <w:rsid w:val="2E060545"/>
    <w:rsid w:val="2E1F36AF"/>
    <w:rsid w:val="2FFC7C4A"/>
    <w:rsid w:val="30275F10"/>
    <w:rsid w:val="30305AEA"/>
    <w:rsid w:val="304B257B"/>
    <w:rsid w:val="30B0524B"/>
    <w:rsid w:val="30B11B46"/>
    <w:rsid w:val="30CD38E8"/>
    <w:rsid w:val="324C2EAE"/>
    <w:rsid w:val="32D166F5"/>
    <w:rsid w:val="339F6C4E"/>
    <w:rsid w:val="33DA06F7"/>
    <w:rsid w:val="340F48FC"/>
    <w:rsid w:val="34265515"/>
    <w:rsid w:val="343C1419"/>
    <w:rsid w:val="34AF2C20"/>
    <w:rsid w:val="34C11256"/>
    <w:rsid w:val="351202FF"/>
    <w:rsid w:val="35BC388F"/>
    <w:rsid w:val="3609360F"/>
    <w:rsid w:val="361B04A0"/>
    <w:rsid w:val="365C6355"/>
    <w:rsid w:val="36646E1F"/>
    <w:rsid w:val="36825C5E"/>
    <w:rsid w:val="36C55F68"/>
    <w:rsid w:val="36D21D41"/>
    <w:rsid w:val="37265173"/>
    <w:rsid w:val="37D35893"/>
    <w:rsid w:val="37ED38F0"/>
    <w:rsid w:val="383E4EC8"/>
    <w:rsid w:val="385A6D44"/>
    <w:rsid w:val="386A7099"/>
    <w:rsid w:val="393E24A6"/>
    <w:rsid w:val="39A560B6"/>
    <w:rsid w:val="39C403D4"/>
    <w:rsid w:val="3AA14BDA"/>
    <w:rsid w:val="3ACA4BAB"/>
    <w:rsid w:val="3B267C8A"/>
    <w:rsid w:val="3B2F036E"/>
    <w:rsid w:val="3B946804"/>
    <w:rsid w:val="3BC86EC9"/>
    <w:rsid w:val="3BD65C63"/>
    <w:rsid w:val="3BE6368D"/>
    <w:rsid w:val="3C104D0D"/>
    <w:rsid w:val="3C4123DE"/>
    <w:rsid w:val="3C523343"/>
    <w:rsid w:val="3C890106"/>
    <w:rsid w:val="3D1651F0"/>
    <w:rsid w:val="3DED4844"/>
    <w:rsid w:val="3E13107E"/>
    <w:rsid w:val="3EBE5E7C"/>
    <w:rsid w:val="3F5F3197"/>
    <w:rsid w:val="3FAD462D"/>
    <w:rsid w:val="3FEC7CB4"/>
    <w:rsid w:val="40687AEB"/>
    <w:rsid w:val="40DC4C45"/>
    <w:rsid w:val="41922BF1"/>
    <w:rsid w:val="41A20AF6"/>
    <w:rsid w:val="4218487C"/>
    <w:rsid w:val="42486ADC"/>
    <w:rsid w:val="426E4241"/>
    <w:rsid w:val="42C057AE"/>
    <w:rsid w:val="42F1542D"/>
    <w:rsid w:val="43085A8E"/>
    <w:rsid w:val="43251536"/>
    <w:rsid w:val="43CF576B"/>
    <w:rsid w:val="43D766A6"/>
    <w:rsid w:val="445E5402"/>
    <w:rsid w:val="446C1C00"/>
    <w:rsid w:val="44774F25"/>
    <w:rsid w:val="45841D41"/>
    <w:rsid w:val="458D7872"/>
    <w:rsid w:val="45A80E29"/>
    <w:rsid w:val="46387E1F"/>
    <w:rsid w:val="465E0411"/>
    <w:rsid w:val="46633C2B"/>
    <w:rsid w:val="468839D7"/>
    <w:rsid w:val="46CB1754"/>
    <w:rsid w:val="46E771D4"/>
    <w:rsid w:val="47B411D0"/>
    <w:rsid w:val="47C066CC"/>
    <w:rsid w:val="47D55B81"/>
    <w:rsid w:val="48B6365C"/>
    <w:rsid w:val="48C64ECB"/>
    <w:rsid w:val="48FB6A8F"/>
    <w:rsid w:val="49012D0E"/>
    <w:rsid w:val="493A6E76"/>
    <w:rsid w:val="497F6E31"/>
    <w:rsid w:val="4984096B"/>
    <w:rsid w:val="499D3D96"/>
    <w:rsid w:val="49C778F0"/>
    <w:rsid w:val="49DF1C3F"/>
    <w:rsid w:val="4AA27F9B"/>
    <w:rsid w:val="4B32363B"/>
    <w:rsid w:val="4B667B2B"/>
    <w:rsid w:val="4B735DE7"/>
    <w:rsid w:val="4BC3729A"/>
    <w:rsid w:val="4BCB4884"/>
    <w:rsid w:val="4BF23E4F"/>
    <w:rsid w:val="4C4607DA"/>
    <w:rsid w:val="4CFF6B43"/>
    <w:rsid w:val="4D6466CB"/>
    <w:rsid w:val="4DB50BA7"/>
    <w:rsid w:val="4E092FFA"/>
    <w:rsid w:val="4EF1621C"/>
    <w:rsid w:val="4F523FD7"/>
    <w:rsid w:val="4F7D08F7"/>
    <w:rsid w:val="50016AC2"/>
    <w:rsid w:val="50123898"/>
    <w:rsid w:val="50427E43"/>
    <w:rsid w:val="51AB68BB"/>
    <w:rsid w:val="51BE3532"/>
    <w:rsid w:val="51F557F8"/>
    <w:rsid w:val="52A73009"/>
    <w:rsid w:val="52D46729"/>
    <w:rsid w:val="530024DC"/>
    <w:rsid w:val="53194738"/>
    <w:rsid w:val="53836818"/>
    <w:rsid w:val="53DA11A0"/>
    <w:rsid w:val="53E32E8A"/>
    <w:rsid w:val="54915BA9"/>
    <w:rsid w:val="54C2402E"/>
    <w:rsid w:val="5570232F"/>
    <w:rsid w:val="564B6B63"/>
    <w:rsid w:val="56514C21"/>
    <w:rsid w:val="567345E6"/>
    <w:rsid w:val="568E367B"/>
    <w:rsid w:val="56A70A5C"/>
    <w:rsid w:val="570B3917"/>
    <w:rsid w:val="5749021F"/>
    <w:rsid w:val="5779299C"/>
    <w:rsid w:val="57D85739"/>
    <w:rsid w:val="580F3D30"/>
    <w:rsid w:val="58221A49"/>
    <w:rsid w:val="58B42698"/>
    <w:rsid w:val="58D562AF"/>
    <w:rsid w:val="592D575A"/>
    <w:rsid w:val="596407D3"/>
    <w:rsid w:val="5A573610"/>
    <w:rsid w:val="5A5A35FA"/>
    <w:rsid w:val="5A8E4D76"/>
    <w:rsid w:val="5B6F6F42"/>
    <w:rsid w:val="5B825CAE"/>
    <w:rsid w:val="5BEF6CB4"/>
    <w:rsid w:val="5C476F4F"/>
    <w:rsid w:val="5C9748E3"/>
    <w:rsid w:val="5CBC6CD8"/>
    <w:rsid w:val="5CD740E4"/>
    <w:rsid w:val="5DB7078B"/>
    <w:rsid w:val="5E0B66F4"/>
    <w:rsid w:val="5E7D3DE6"/>
    <w:rsid w:val="5EE83FD6"/>
    <w:rsid w:val="5F093E9D"/>
    <w:rsid w:val="6045177F"/>
    <w:rsid w:val="60F308EF"/>
    <w:rsid w:val="6176717E"/>
    <w:rsid w:val="61A76DC0"/>
    <w:rsid w:val="62186AF3"/>
    <w:rsid w:val="62492AD7"/>
    <w:rsid w:val="62A10B56"/>
    <w:rsid w:val="62BB5C43"/>
    <w:rsid w:val="63653051"/>
    <w:rsid w:val="63737A74"/>
    <w:rsid w:val="637A6826"/>
    <w:rsid w:val="658028C9"/>
    <w:rsid w:val="65AA5FD2"/>
    <w:rsid w:val="66116ABA"/>
    <w:rsid w:val="665373D5"/>
    <w:rsid w:val="66924654"/>
    <w:rsid w:val="66C1218C"/>
    <w:rsid w:val="66DF3DF0"/>
    <w:rsid w:val="676D4753"/>
    <w:rsid w:val="67FB3499"/>
    <w:rsid w:val="68467EA7"/>
    <w:rsid w:val="6A613793"/>
    <w:rsid w:val="6AAB298E"/>
    <w:rsid w:val="6B00566A"/>
    <w:rsid w:val="6B8D4C87"/>
    <w:rsid w:val="6B966382"/>
    <w:rsid w:val="6BE51D4D"/>
    <w:rsid w:val="6CC05D4D"/>
    <w:rsid w:val="6D284A9A"/>
    <w:rsid w:val="6D762C20"/>
    <w:rsid w:val="6E1950F6"/>
    <w:rsid w:val="6E310AD8"/>
    <w:rsid w:val="6E940B7A"/>
    <w:rsid w:val="703A272E"/>
    <w:rsid w:val="709646F0"/>
    <w:rsid w:val="717C721C"/>
    <w:rsid w:val="72294B2F"/>
    <w:rsid w:val="74D06A77"/>
    <w:rsid w:val="75065DB7"/>
    <w:rsid w:val="76876D22"/>
    <w:rsid w:val="770F35FE"/>
    <w:rsid w:val="771300BB"/>
    <w:rsid w:val="772417AF"/>
    <w:rsid w:val="777B5002"/>
    <w:rsid w:val="78460ED0"/>
    <w:rsid w:val="78477BB6"/>
    <w:rsid w:val="7858000D"/>
    <w:rsid w:val="785A5B03"/>
    <w:rsid w:val="79C4024E"/>
    <w:rsid w:val="79FC265D"/>
    <w:rsid w:val="7ABE4CD1"/>
    <w:rsid w:val="7AFE606B"/>
    <w:rsid w:val="7B5254FB"/>
    <w:rsid w:val="7B5935FD"/>
    <w:rsid w:val="7B902188"/>
    <w:rsid w:val="7BB27F43"/>
    <w:rsid w:val="7BB72EDA"/>
    <w:rsid w:val="7BDB6CDC"/>
    <w:rsid w:val="7C340505"/>
    <w:rsid w:val="7C471EE4"/>
    <w:rsid w:val="7D4635B2"/>
    <w:rsid w:val="7D64173C"/>
    <w:rsid w:val="7DFC1F91"/>
    <w:rsid w:val="7E0916DD"/>
    <w:rsid w:val="7E405882"/>
    <w:rsid w:val="7EA254FE"/>
    <w:rsid w:val="7EA875E5"/>
    <w:rsid w:val="7F6D3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5FC0A9"/>
  <w15:docId w15:val="{1D85042D-20B9-454C-A3DD-A0FCE98B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uiPriority="0"/>
    <w:lsdException w:name="Body Text Indent" w:locked="1" w:uiPriority="0"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semiHidden="1" w:qFormat="1"/>
    <w:lsdException w:name="Body Text First Indent" w:locked="1" w:semiHidden="1" w:unhideWhenUsed="1"/>
    <w:lsdException w:name="Body Text First Indent 2" w:locked="1" w:uiPriority="0" w:unhideWhenUsed="1" w:qFormat="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iPriority="0" w:unhideWhenUsed="1"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locked="1"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next w:val="2"/>
    <w:qFormat/>
    <w:pPr>
      <w:widowControl w:val="0"/>
      <w:jc w:val="both"/>
    </w:pPr>
    <w:rPr>
      <w:rFonts w:ascii="Calibri" w:hAnsi="Calibri"/>
      <w:kern w:val="2"/>
      <w:sz w:val="21"/>
      <w:szCs w:val="22"/>
    </w:rPr>
  </w:style>
  <w:style w:type="paragraph" w:styleId="1">
    <w:name w:val="heading 1"/>
    <w:basedOn w:val="a3"/>
    <w:next w:val="a3"/>
    <w:link w:val="10"/>
    <w:uiPriority w:val="99"/>
    <w:qFormat/>
    <w:pPr>
      <w:keepNext/>
      <w:keepLines/>
      <w:spacing w:before="340" w:after="330" w:line="578" w:lineRule="auto"/>
      <w:outlineLvl w:val="0"/>
    </w:pPr>
    <w:rPr>
      <w:b/>
      <w:bCs/>
      <w:kern w:val="44"/>
      <w:sz w:val="44"/>
      <w:szCs w:val="44"/>
    </w:rPr>
  </w:style>
  <w:style w:type="paragraph" w:styleId="20">
    <w:name w:val="heading 2"/>
    <w:basedOn w:val="a3"/>
    <w:next w:val="a3"/>
    <w:link w:val="21"/>
    <w:uiPriority w:val="99"/>
    <w:qFormat/>
    <w:pPr>
      <w:keepNext/>
      <w:keepLines/>
      <w:spacing w:before="260" w:after="260" w:line="416" w:lineRule="auto"/>
      <w:outlineLvl w:val="1"/>
    </w:pPr>
    <w:rPr>
      <w:rFonts w:ascii="Cambria" w:hAnsi="Cambria"/>
      <w:b/>
      <w:bCs/>
      <w:kern w:val="0"/>
      <w:sz w:val="32"/>
      <w:szCs w:val="32"/>
    </w:rPr>
  </w:style>
  <w:style w:type="paragraph" w:styleId="3">
    <w:name w:val="heading 3"/>
    <w:basedOn w:val="a3"/>
    <w:next w:val="a3"/>
    <w:link w:val="30"/>
    <w:uiPriority w:val="99"/>
    <w:qFormat/>
    <w:pPr>
      <w:keepNext/>
      <w:keepLines/>
      <w:spacing w:before="260" w:after="260" w:line="416" w:lineRule="auto"/>
      <w:outlineLvl w:val="2"/>
    </w:pPr>
    <w:rPr>
      <w:b/>
      <w:bCs/>
      <w:kern w:val="0"/>
      <w:sz w:val="32"/>
      <w:szCs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2">
    <w:name w:val="Body Text First Indent 2"/>
    <w:basedOn w:val="a7"/>
    <w:unhideWhenUsed/>
    <w:qFormat/>
    <w:locked/>
    <w:pPr>
      <w:ind w:firstLineChars="200" w:firstLine="420"/>
    </w:pPr>
  </w:style>
  <w:style w:type="paragraph" w:styleId="a7">
    <w:name w:val="Body Text Indent"/>
    <w:basedOn w:val="a3"/>
    <w:qFormat/>
    <w:locked/>
    <w:pPr>
      <w:wordWrap w:val="0"/>
      <w:overflowPunct w:val="0"/>
      <w:autoSpaceDE w:val="0"/>
      <w:autoSpaceDN w:val="0"/>
      <w:adjustRightInd w:val="0"/>
      <w:spacing w:after="120" w:line="360" w:lineRule="auto"/>
      <w:ind w:leftChars="200" w:left="420"/>
      <w:jc w:val="left"/>
      <w:textAlignment w:val="baseline"/>
    </w:pPr>
    <w:rPr>
      <w:rFonts w:ascii="Arial" w:hAnsi="Arial"/>
      <w:kern w:val="0"/>
      <w:sz w:val="24"/>
      <w:szCs w:val="20"/>
    </w:rPr>
  </w:style>
  <w:style w:type="paragraph" w:styleId="a8">
    <w:name w:val="annotation text"/>
    <w:basedOn w:val="a3"/>
    <w:link w:val="a9"/>
    <w:uiPriority w:val="99"/>
    <w:semiHidden/>
    <w:qFormat/>
    <w:pPr>
      <w:jc w:val="left"/>
    </w:pPr>
    <w:rPr>
      <w:kern w:val="0"/>
      <w:sz w:val="20"/>
      <w:szCs w:val="21"/>
    </w:rPr>
  </w:style>
  <w:style w:type="paragraph" w:styleId="aa">
    <w:name w:val="Body Text"/>
    <w:basedOn w:val="a3"/>
    <w:locked/>
    <w:rPr>
      <w:sz w:val="24"/>
    </w:rPr>
  </w:style>
  <w:style w:type="paragraph" w:styleId="ab">
    <w:name w:val="Plain Text"/>
    <w:basedOn w:val="a3"/>
    <w:unhideWhenUsed/>
    <w:qFormat/>
    <w:locked/>
    <w:rPr>
      <w:rFonts w:ascii="宋体" w:hAnsi="Courier New"/>
      <w:szCs w:val="20"/>
    </w:rPr>
  </w:style>
  <w:style w:type="paragraph" w:styleId="ac">
    <w:name w:val="Date"/>
    <w:basedOn w:val="a3"/>
    <w:next w:val="a3"/>
    <w:link w:val="ad"/>
    <w:uiPriority w:val="99"/>
    <w:semiHidden/>
    <w:qFormat/>
    <w:pPr>
      <w:ind w:leftChars="2500" w:left="100"/>
    </w:pPr>
  </w:style>
  <w:style w:type="paragraph" w:styleId="ae">
    <w:name w:val="Balloon Text"/>
    <w:basedOn w:val="a3"/>
    <w:link w:val="af"/>
    <w:uiPriority w:val="99"/>
    <w:semiHidden/>
    <w:qFormat/>
    <w:rPr>
      <w:kern w:val="0"/>
      <w:sz w:val="18"/>
      <w:szCs w:val="18"/>
    </w:rPr>
  </w:style>
  <w:style w:type="paragraph" w:styleId="af0">
    <w:name w:val="footer"/>
    <w:basedOn w:val="a3"/>
    <w:link w:val="af1"/>
    <w:uiPriority w:val="99"/>
    <w:qFormat/>
    <w:pPr>
      <w:tabs>
        <w:tab w:val="center" w:pos="4153"/>
        <w:tab w:val="right" w:pos="8306"/>
      </w:tabs>
      <w:snapToGrid w:val="0"/>
      <w:jc w:val="left"/>
    </w:pPr>
    <w:rPr>
      <w:kern w:val="0"/>
      <w:sz w:val="18"/>
      <w:szCs w:val="18"/>
    </w:rPr>
  </w:style>
  <w:style w:type="paragraph" w:styleId="af2">
    <w:name w:val="header"/>
    <w:basedOn w:val="a3"/>
    <w:link w:val="af3"/>
    <w:uiPriority w:val="9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3"/>
    <w:next w:val="a3"/>
    <w:uiPriority w:val="99"/>
    <w:qFormat/>
    <w:pPr>
      <w:tabs>
        <w:tab w:val="right" w:leader="dot" w:pos="9241"/>
      </w:tabs>
      <w:spacing w:beforeLines="25" w:afterLines="25"/>
      <w:jc w:val="left"/>
    </w:pPr>
    <w:rPr>
      <w:rFonts w:ascii="宋体"/>
      <w:szCs w:val="21"/>
    </w:rPr>
  </w:style>
  <w:style w:type="paragraph" w:styleId="TOC2">
    <w:name w:val="toc 2"/>
    <w:basedOn w:val="a3"/>
    <w:next w:val="a3"/>
    <w:uiPriority w:val="99"/>
    <w:qFormat/>
    <w:pPr>
      <w:tabs>
        <w:tab w:val="right" w:leader="dot" w:pos="9241"/>
      </w:tabs>
    </w:pPr>
    <w:rPr>
      <w:rFonts w:ascii="宋体"/>
      <w:szCs w:val="21"/>
    </w:rPr>
  </w:style>
  <w:style w:type="paragraph" w:styleId="af4">
    <w:name w:val="Normal (Web)"/>
    <w:basedOn w:val="a3"/>
    <w:uiPriority w:val="99"/>
    <w:qFormat/>
    <w:pPr>
      <w:widowControl/>
      <w:spacing w:before="100" w:beforeAutospacing="1" w:after="100" w:afterAutospacing="1"/>
      <w:jc w:val="left"/>
    </w:pPr>
    <w:rPr>
      <w:rFonts w:ascii="宋体" w:hAnsi="宋体" w:cs="宋体"/>
      <w:kern w:val="0"/>
      <w:sz w:val="24"/>
      <w:szCs w:val="24"/>
    </w:rPr>
  </w:style>
  <w:style w:type="character" w:styleId="af5">
    <w:name w:val="Hyperlink"/>
    <w:uiPriority w:val="99"/>
    <w:semiHidden/>
    <w:qFormat/>
    <w:rPr>
      <w:rFonts w:cs="Times New Roman"/>
      <w:color w:val="0000CC"/>
      <w:u w:val="single"/>
    </w:rPr>
  </w:style>
  <w:style w:type="character" w:styleId="af6">
    <w:name w:val="annotation reference"/>
    <w:uiPriority w:val="99"/>
    <w:semiHidden/>
    <w:qFormat/>
    <w:rPr>
      <w:rFonts w:cs="Times New Roman"/>
      <w:sz w:val="21"/>
    </w:rPr>
  </w:style>
  <w:style w:type="paragraph" w:customStyle="1" w:styleId="af7">
    <w:name w:val="段"/>
    <w:link w:val="Char"/>
    <w:uiPriority w:val="99"/>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11">
    <w:name w:val="列出段落1"/>
    <w:basedOn w:val="a3"/>
    <w:uiPriority w:val="99"/>
    <w:qFormat/>
    <w:pPr>
      <w:ind w:firstLineChars="200" w:firstLine="420"/>
    </w:pPr>
  </w:style>
  <w:style w:type="paragraph" w:customStyle="1" w:styleId="af8">
    <w:name w:val="目次、标准名称标题"/>
    <w:basedOn w:val="a3"/>
    <w:next w:val="af7"/>
    <w:uiPriority w:val="9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9">
    <w:name w:val="标准书脚_奇数页"/>
    <w:uiPriority w:val="99"/>
    <w:qFormat/>
    <w:pPr>
      <w:spacing w:before="120"/>
      <w:ind w:right="198"/>
      <w:jc w:val="right"/>
    </w:pPr>
    <w:rPr>
      <w:rFonts w:ascii="宋体"/>
      <w:sz w:val="18"/>
      <w:szCs w:val="18"/>
    </w:rPr>
  </w:style>
  <w:style w:type="paragraph" w:customStyle="1" w:styleId="afa">
    <w:name w:val="标准文件_段"/>
    <w:qFormat/>
    <w:pPr>
      <w:autoSpaceDE w:val="0"/>
      <w:autoSpaceDN w:val="0"/>
      <w:ind w:firstLineChars="200" w:firstLine="200"/>
      <w:jc w:val="both"/>
    </w:pPr>
    <w:rPr>
      <w:rFonts w:ascii="宋体"/>
      <w:sz w:val="21"/>
    </w:rPr>
  </w:style>
  <w:style w:type="paragraph" w:customStyle="1" w:styleId="afb">
    <w:name w:val="标准文件_页脚奇数页"/>
    <w:qFormat/>
    <w:pPr>
      <w:ind w:right="227"/>
      <w:jc w:val="right"/>
    </w:pPr>
    <w:rPr>
      <w:rFonts w:ascii="宋体"/>
      <w:sz w:val="18"/>
    </w:rPr>
  </w:style>
  <w:style w:type="paragraph" w:customStyle="1" w:styleId="afc">
    <w:name w:val="标准文件_页眉奇数页"/>
    <w:next w:val="a3"/>
    <w:qFormat/>
    <w:pPr>
      <w:tabs>
        <w:tab w:val="center" w:pos="4154"/>
        <w:tab w:val="right" w:pos="8306"/>
      </w:tabs>
      <w:spacing w:after="120"/>
      <w:jc w:val="right"/>
    </w:pPr>
    <w:rPr>
      <w:rFonts w:ascii="黑体" w:eastAsia="黑体" w:hAnsi="宋体"/>
      <w:sz w:val="21"/>
    </w:rPr>
  </w:style>
  <w:style w:type="paragraph" w:customStyle="1" w:styleId="a0">
    <w:name w:val="标准文件_字母编号列项（一级）"/>
    <w:qFormat/>
    <w:pPr>
      <w:numPr>
        <w:numId w:val="1"/>
      </w:numPr>
      <w:jc w:val="both"/>
    </w:pPr>
    <w:rPr>
      <w:rFonts w:ascii="宋体"/>
      <w:sz w:val="21"/>
    </w:rPr>
  </w:style>
  <w:style w:type="paragraph" w:customStyle="1" w:styleId="a1">
    <w:name w:val="标准文件_数字编号列项（二级）"/>
    <w:qFormat/>
    <w:pPr>
      <w:numPr>
        <w:ilvl w:val="1"/>
        <w:numId w:val="1"/>
      </w:numPr>
      <w:tabs>
        <w:tab w:val="left" w:pos="851"/>
      </w:tabs>
      <w:jc w:val="both"/>
    </w:pPr>
    <w:rPr>
      <w:rFonts w:ascii="宋体"/>
      <w:sz w:val="21"/>
    </w:rPr>
  </w:style>
  <w:style w:type="paragraph" w:customStyle="1" w:styleId="a2">
    <w:name w:val="标准文件_二级条标题"/>
    <w:next w:val="afa"/>
    <w:qFormat/>
    <w:pPr>
      <w:widowControl w:val="0"/>
      <w:numPr>
        <w:ilvl w:val="3"/>
        <w:numId w:val="2"/>
      </w:numPr>
      <w:spacing w:beforeLines="50" w:afterLines="50"/>
      <w:jc w:val="both"/>
      <w:outlineLvl w:val="2"/>
    </w:pPr>
    <w:rPr>
      <w:rFonts w:ascii="黑体" w:eastAsia="黑体"/>
      <w:sz w:val="21"/>
    </w:rPr>
  </w:style>
  <w:style w:type="paragraph" w:customStyle="1" w:styleId="afd">
    <w:name w:val="标准文件_三级条标题"/>
    <w:next w:val="afa"/>
    <w:qFormat/>
    <w:pPr>
      <w:outlineLvl w:val="3"/>
    </w:pPr>
  </w:style>
  <w:style w:type="character" w:customStyle="1" w:styleId="10">
    <w:name w:val="标题 1 字符"/>
    <w:link w:val="1"/>
    <w:uiPriority w:val="99"/>
    <w:qFormat/>
    <w:locked/>
    <w:rPr>
      <w:rFonts w:cs="Times New Roman"/>
      <w:b/>
      <w:kern w:val="44"/>
      <w:sz w:val="44"/>
    </w:rPr>
  </w:style>
  <w:style w:type="character" w:customStyle="1" w:styleId="21">
    <w:name w:val="标题 2 字符"/>
    <w:link w:val="20"/>
    <w:uiPriority w:val="99"/>
    <w:qFormat/>
    <w:locked/>
    <w:rPr>
      <w:rFonts w:ascii="Cambria" w:eastAsia="宋体" w:hAnsi="Cambria" w:cs="Times New Roman"/>
      <w:b/>
      <w:sz w:val="32"/>
    </w:rPr>
  </w:style>
  <w:style w:type="character" w:customStyle="1" w:styleId="30">
    <w:name w:val="标题 3 字符"/>
    <w:link w:val="3"/>
    <w:uiPriority w:val="99"/>
    <w:qFormat/>
    <w:locked/>
    <w:rPr>
      <w:rFonts w:cs="Times New Roman"/>
      <w:b/>
      <w:sz w:val="32"/>
    </w:rPr>
  </w:style>
  <w:style w:type="character" w:customStyle="1" w:styleId="a9">
    <w:name w:val="批注文字 字符"/>
    <w:link w:val="a8"/>
    <w:uiPriority w:val="99"/>
    <w:semiHidden/>
    <w:qFormat/>
    <w:locked/>
    <w:rPr>
      <w:rFonts w:ascii="Calibri" w:eastAsia="宋体" w:hAnsi="Calibri" w:cs="Times New Roman"/>
      <w:sz w:val="21"/>
    </w:rPr>
  </w:style>
  <w:style w:type="character" w:customStyle="1" w:styleId="ad">
    <w:name w:val="日期 字符"/>
    <w:link w:val="ac"/>
    <w:uiPriority w:val="99"/>
    <w:semiHidden/>
    <w:qFormat/>
    <w:locked/>
    <w:rPr>
      <w:rFonts w:cs="Times New Roman"/>
      <w:kern w:val="2"/>
      <w:sz w:val="22"/>
      <w:szCs w:val="22"/>
    </w:rPr>
  </w:style>
  <w:style w:type="character" w:customStyle="1" w:styleId="af">
    <w:name w:val="批注框文本 字符"/>
    <w:link w:val="ae"/>
    <w:uiPriority w:val="99"/>
    <w:semiHidden/>
    <w:qFormat/>
    <w:locked/>
    <w:rPr>
      <w:rFonts w:cs="Times New Roman"/>
      <w:sz w:val="18"/>
    </w:rPr>
  </w:style>
  <w:style w:type="character" w:customStyle="1" w:styleId="af1">
    <w:name w:val="页脚 字符"/>
    <w:link w:val="af0"/>
    <w:uiPriority w:val="99"/>
    <w:qFormat/>
    <w:locked/>
    <w:rPr>
      <w:rFonts w:cs="Times New Roman"/>
      <w:sz w:val="18"/>
    </w:rPr>
  </w:style>
  <w:style w:type="character" w:customStyle="1" w:styleId="af3">
    <w:name w:val="页眉 字符"/>
    <w:link w:val="af2"/>
    <w:uiPriority w:val="99"/>
    <w:qFormat/>
    <w:locked/>
    <w:rPr>
      <w:rFonts w:cs="Times New Roman"/>
      <w:sz w:val="18"/>
    </w:rPr>
  </w:style>
  <w:style w:type="character" w:customStyle="1" w:styleId="Char">
    <w:name w:val="段 Char"/>
    <w:link w:val="af7"/>
    <w:uiPriority w:val="99"/>
    <w:qFormat/>
    <w:locked/>
    <w:rPr>
      <w:rFonts w:ascii="宋体" w:hAnsi="Times New Roman"/>
      <w:sz w:val="22"/>
    </w:rPr>
  </w:style>
  <w:style w:type="character" w:customStyle="1" w:styleId="12">
    <w:name w:val="占位符文本1"/>
    <w:uiPriority w:val="99"/>
    <w:semiHidden/>
    <w:qFormat/>
    <w:rPr>
      <w:rFonts w:cs="Times New Roman"/>
      <w:color w:val="808080"/>
    </w:rPr>
  </w:style>
  <w:style w:type="character" w:customStyle="1" w:styleId="fontstyle01">
    <w:name w:val="fontstyle01"/>
    <w:qFormat/>
    <w:rPr>
      <w:rFonts w:ascii="宋体" w:eastAsia="宋体" w:hAnsi="宋体" w:cs="宋体"/>
      <w:color w:val="000000"/>
      <w:sz w:val="22"/>
      <w:szCs w:val="22"/>
    </w:rPr>
  </w:style>
  <w:style w:type="paragraph" w:styleId="afe">
    <w:name w:val="List Paragraph"/>
    <w:basedOn w:val="a3"/>
    <w:uiPriority w:val="99"/>
    <w:qFormat/>
    <w:pPr>
      <w:ind w:firstLineChars="200" w:firstLine="420"/>
    </w:pPr>
  </w:style>
  <w:style w:type="paragraph" w:customStyle="1" w:styleId="a">
    <w:name w:val="章标题"/>
    <w:next w:val="af7"/>
    <w:qFormat/>
    <w:pPr>
      <w:numPr>
        <w:numId w:val="3"/>
      </w:numPr>
      <w:spacing w:beforeLines="100" w:before="312" w:afterLines="100" w:after="312"/>
      <w:ind w:left="0"/>
      <w:jc w:val="both"/>
      <w:outlineLvl w:val="1"/>
    </w:pPr>
    <w:rPr>
      <w:rFonts w:ascii="黑体" w:eastAsia="黑体"/>
      <w:sz w:val="21"/>
    </w:rPr>
  </w:style>
  <w:style w:type="paragraph" w:customStyle="1" w:styleId="31">
    <w:name w:val="样式3"/>
    <w:basedOn w:val="ab"/>
    <w:qFormat/>
    <w:pPr>
      <w:tabs>
        <w:tab w:val="left" w:pos="420"/>
        <w:tab w:val="left" w:pos="851"/>
      </w:tabs>
      <w:ind w:left="851" w:hanging="851"/>
    </w:pPr>
    <w:rPr>
      <w:szCs w:val="21"/>
    </w:rPr>
  </w:style>
  <w:style w:type="paragraph" w:customStyle="1" w:styleId="aff">
    <w:name w:val="一级条标题"/>
    <w:basedOn w:val="a"/>
    <w:next w:val="af7"/>
    <w:qFormat/>
    <w:pPr>
      <w:spacing w:beforeLines="50" w:before="156" w:afterLines="50" w:after="156"/>
      <w:outlineLvl w:val="2"/>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754</Words>
  <Characters>4303</Characters>
  <Application>Microsoft Office Word</Application>
  <DocSecurity>0</DocSecurity>
  <Lines>35</Lines>
  <Paragraphs>10</Paragraphs>
  <ScaleCrop>false</ScaleCrop>
  <Company>Microsoft</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中国仪器仪表行业协会团体标准</dc:title>
  <dc:creator>liu</dc:creator>
  <cp:lastModifiedBy>静</cp:lastModifiedBy>
  <cp:revision>5</cp:revision>
  <cp:lastPrinted>2020-06-01T08:06:00Z</cp:lastPrinted>
  <dcterms:created xsi:type="dcterms:W3CDTF">2022-11-11T06:20:00Z</dcterms:created>
  <dcterms:modified xsi:type="dcterms:W3CDTF">2023-02-10T01:52:00Z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F92A815C2D4248279CA6986DAFDFF87F</vt:lpwstr>
  </property>
</Properties>
</file>